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559B1B87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Meeting </w:t>
      </w:r>
      <w:r w:rsidR="00690CBC">
        <w:rPr>
          <w:rFonts w:ascii="Calibri" w:hAnsi="Calibri" w:cs="Calibri"/>
        </w:rPr>
        <w:t>Minutes</w:t>
      </w:r>
      <w:r w:rsidRPr="000D6180">
        <w:rPr>
          <w:rFonts w:ascii="Calibri" w:hAnsi="Calibri" w:cs="Calibri"/>
        </w:rPr>
        <w:br/>
      </w:r>
      <w:r w:rsidR="00914DD2">
        <w:rPr>
          <w:rFonts w:ascii="Calibri" w:hAnsi="Calibri" w:cs="Calibri"/>
        </w:rPr>
        <w:t>30</w:t>
      </w:r>
      <w:r w:rsidR="00F32988">
        <w:rPr>
          <w:rFonts w:ascii="Calibri" w:hAnsi="Calibri" w:cs="Calibri"/>
        </w:rPr>
        <w:t xml:space="preserve"> September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14FD46DB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53940637" w14:textId="27AB1514" w:rsidR="00690CBC" w:rsidRPr="00690CBC" w:rsidRDefault="00690CBC" w:rsidP="00690CBC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Erwin de Kock, WG Chair, calls the meeting to order at 10:</w:t>
      </w:r>
      <w:r w:rsidR="00AA1242">
        <w:rPr>
          <w:rFonts w:asciiTheme="minorHAnsi" w:hAnsiTheme="minorHAnsi" w:cstheme="minorHAnsi"/>
          <w:i/>
          <w:color w:val="808080" w:themeColor="background1" w:themeShade="80"/>
        </w:rPr>
        <w:t>06</w:t>
      </w:r>
      <w:r>
        <w:rPr>
          <w:rFonts w:asciiTheme="minorHAnsi" w:hAnsiTheme="minorHAnsi" w:cstheme="minorHAnsi"/>
          <w:i/>
          <w:color w:val="808080" w:themeColor="background1" w:themeShade="80"/>
        </w:rPr>
        <w:t xml:space="preserve"> AM EST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7E79F022" w14:textId="7A4DF7C1" w:rsidR="00690CBC" w:rsidRPr="00A63D14" w:rsidRDefault="00690CBC" w:rsidP="00690CBC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</w:pP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Jean-Michel Fernandez (</w:t>
      </w:r>
      <w:proofErr w:type="spellStart"/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Arteris</w:t>
      </w:r>
      <w:proofErr w:type="spellEnd"/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lang w:val="fr-FR"/>
        </w:rPr>
        <w:t>, DR)</w:t>
      </w:r>
    </w:p>
    <w:p w14:paraId="634F8B0C" w14:textId="2D317245" w:rsidR="005279C4" w:rsidRPr="00A63D14" w:rsidRDefault="00690CBC" w:rsidP="00A63D14">
      <w:pPr>
        <w:pStyle w:val="ListParagraph"/>
        <w:spacing w:before="120"/>
        <w:ind w:left="144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Eyal Herzberg (Cadence, DR) 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Michael Velten (Infineon,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  <w:r w:rsidR="00E8316A" w:rsidRPr="00A63D14">
        <w:rPr>
          <w:rStyle w:val="Hyperlink"/>
          <w:rFonts w:ascii="Calibri" w:hAnsi="Calibri" w:cs="Calibri"/>
          <w:i/>
        </w:rPr>
        <w:br/>
      </w:r>
    </w:p>
    <w:p w14:paraId="7D963514" w14:textId="43E56BE5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20B6B8E" w14:textId="0C514BDA" w:rsidR="00690CBC" w:rsidRPr="00025429" w:rsidRDefault="00806069" w:rsidP="00690CBC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bookmarkStart w:id="0" w:name="_Hlk74205101"/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Mark Noll </w:t>
      </w:r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moves a motion to approve the agenda.</w:t>
      </w:r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Eyal Herzberg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(WGC) asks if anyone objects to unanimous consent of the motion.</w:t>
      </w:r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No objection, hence, the agenda is approved</w:t>
      </w:r>
      <w:bookmarkEnd w:id="0"/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.</w:t>
      </w:r>
    </w:p>
    <w:p w14:paraId="536919B1" w14:textId="77777777" w:rsidR="00690CBC" w:rsidRDefault="00690CBC" w:rsidP="00690CBC">
      <w:pPr>
        <w:pStyle w:val="NoSpacing"/>
        <w:rPr>
          <w:rFonts w:ascii="Calibri" w:hAnsi="Calibri" w:cs="Calibri"/>
        </w:rPr>
      </w:pP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05052CD5" w14:textId="77777777" w:rsidR="00690CBC" w:rsidRPr="00690CBC" w:rsidRDefault="00DF58A5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8" w:history="1">
        <w:r w:rsidR="00914DD2">
          <w:rPr>
            <w:rStyle w:val="Hyperlink"/>
            <w:rFonts w:ascii="Calibri" w:hAnsi="Calibri" w:cs="Calibri"/>
          </w:rPr>
          <w:t>2021-09-16-minutes.docx</w:t>
        </w:r>
      </w:hyperlink>
    </w:p>
    <w:p w14:paraId="5F6CF853" w14:textId="37C499E9" w:rsidR="002D6A35" w:rsidRPr="00BF1A73" w:rsidRDefault="00806069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Theme="minorHAnsi" w:hAnsiTheme="minorHAnsi" w:cstheme="minorHAnsi"/>
          <w:i/>
          <w:color w:val="808080" w:themeColor="background1" w:themeShade="80"/>
        </w:rPr>
        <w:t>Edwin Dankert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t xml:space="preserve"> moves a motion to approve the minutes.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br/>
      </w:r>
      <w:r>
        <w:rPr>
          <w:rFonts w:asciiTheme="minorHAnsi" w:hAnsiTheme="minorHAnsi" w:cstheme="minorHAnsi"/>
          <w:i/>
          <w:color w:val="808080" w:themeColor="background1" w:themeShade="80"/>
        </w:rPr>
        <w:t>Mark Noll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t xml:space="preserve"> seconds the motion.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br/>
        <w:t>Erwin de Kock (WGC) asks if anyone objects to unanimous consent of the motion.</w:t>
      </w:r>
      <w:r w:rsidR="00690CBC">
        <w:rPr>
          <w:rFonts w:asciiTheme="minorHAnsi" w:hAnsiTheme="minorHAnsi" w:cstheme="minorHAnsi"/>
          <w:i/>
          <w:color w:val="808080" w:themeColor="background1" w:themeShade="80"/>
        </w:rPr>
        <w:br/>
        <w:t>No objection, hence, the minutes are approved.</w:t>
      </w:r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9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5537F32F" w:rsidR="00833F20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  <w:shd w:val="clear" w:color="auto" w:fill="FFFFFF"/>
        </w:rPr>
      </w:pPr>
      <w:r>
        <w:rPr>
          <w:rFonts w:ascii="Calibri" w:hAnsi="Calibri" w:cs="Calibri"/>
        </w:rPr>
        <w:t xml:space="preserve">Copyright </w:t>
      </w:r>
      <w:hyperlink r:id="rId10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696E437D" w14:textId="77777777" w:rsidR="00690CBC" w:rsidRPr="00A402D6" w:rsidRDefault="00690CBC" w:rsidP="00690CBC">
      <w:pPr>
        <w:numPr>
          <w:ilvl w:val="0"/>
          <w:numId w:val="25"/>
        </w:numPr>
        <w:spacing w:before="1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Erwin de Kock (WGC)</w:t>
      </w:r>
      <w:r w:rsidRPr="00A402D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made a call fo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r potentially essential patents; no one raised concerns for consideration</w:t>
      </w:r>
    </w:p>
    <w:p w14:paraId="5E792ADD" w14:textId="19888F77" w:rsidR="00690CBC" w:rsidRPr="00690CBC" w:rsidRDefault="00690CBC" w:rsidP="00690CBC">
      <w:pPr>
        <w:numPr>
          <w:ilvl w:val="0"/>
          <w:numId w:val="25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The copyright policy was presented. There were no questions or concerns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12B62EE7" w:rsidR="00CD0024" w:rsidRPr="00A63D14" w:rsidRDefault="00DF58A5" w:rsidP="00E8316A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1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6BECEC52" w14:textId="5623B124" w:rsidR="00A63D14" w:rsidRPr="00A63D14" w:rsidRDefault="00A63D14" w:rsidP="00A63D14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lastRenderedPageBreak/>
        <w:t xml:space="preserve">All 14 </w:t>
      </w:r>
      <w:r w:rsidR="00805CB6">
        <w:rPr>
          <w:rFonts w:ascii="Calibri" w:hAnsi="Calibri" w:cs="Calibri"/>
          <w:color w:val="808080" w:themeColor="background1" w:themeShade="80"/>
        </w:rPr>
        <w:t xml:space="preserve">entity </w:t>
      </w:r>
      <w:r>
        <w:rPr>
          <w:rFonts w:ascii="Calibri" w:hAnsi="Calibri" w:cs="Calibri"/>
          <w:color w:val="808080" w:themeColor="background1" w:themeShade="80"/>
        </w:rPr>
        <w:t>member</w:t>
      </w:r>
      <w:r w:rsidR="00805CB6">
        <w:rPr>
          <w:rFonts w:ascii="Calibri" w:hAnsi="Calibri" w:cs="Calibri"/>
          <w:color w:val="808080" w:themeColor="background1" w:themeShade="80"/>
        </w:rPr>
        <w:t>s</w:t>
      </w:r>
      <w:r>
        <w:rPr>
          <w:rFonts w:ascii="Calibri" w:hAnsi="Calibri" w:cs="Calibri"/>
          <w:color w:val="808080" w:themeColor="background1" w:themeShade="80"/>
        </w:rPr>
        <w:t xml:space="preserve"> have voting rights</w:t>
      </w:r>
      <w:r w:rsidR="00805CB6">
        <w:rPr>
          <w:rFonts w:ascii="Calibri" w:hAnsi="Calibri" w:cs="Calibri"/>
          <w:color w:val="808080" w:themeColor="background1" w:themeShade="80"/>
        </w:rPr>
        <w:t>.</w:t>
      </w:r>
    </w:p>
    <w:p w14:paraId="72320764" w14:textId="77777777" w:rsidR="00A63D14" w:rsidRDefault="00A63D14" w:rsidP="00A63D14">
      <w:pPr>
        <w:pStyle w:val="NoSpacing"/>
        <w:ind w:left="1440"/>
        <w:rPr>
          <w:rFonts w:ascii="Calibri" w:hAnsi="Calibri" w:cs="Calibri"/>
        </w:rPr>
      </w:pPr>
    </w:p>
    <w:p w14:paraId="3B6213C6" w14:textId="4F7F9A1B" w:rsidR="00C76190" w:rsidRDefault="00DF58A5" w:rsidP="00B64F02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914DD2" w:rsidRPr="00914DD2">
          <w:rPr>
            <w:rStyle w:val="Hyperlink"/>
            <w:rFonts w:ascii="Calibri" w:hAnsi="Calibri" w:cs="Calibri"/>
          </w:rPr>
          <w:t>Ballot to approve draft for new revision of IEEE 1685.</w:t>
        </w:r>
      </w:hyperlink>
    </w:p>
    <w:p w14:paraId="2E54975F" w14:textId="0C4CA1FA" w:rsidR="00A63D14" w:rsidRDefault="00AF1BAB" w:rsidP="00A63D14">
      <w:pPr>
        <w:pStyle w:val="NoSpacing"/>
        <w:numPr>
          <w:ilvl w:val="2"/>
          <w:numId w:val="15"/>
        </w:num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 xml:space="preserve">All </w:t>
      </w:r>
      <w:r w:rsidR="00B64F02" w:rsidRPr="00A63D14">
        <w:rPr>
          <w:rFonts w:ascii="Calibri" w:hAnsi="Calibri" w:cs="Calibri"/>
          <w:color w:val="808080" w:themeColor="background1" w:themeShade="80"/>
        </w:rPr>
        <w:t xml:space="preserve">14 </w:t>
      </w:r>
      <w:r w:rsidR="00FA623B">
        <w:rPr>
          <w:rFonts w:ascii="Calibri" w:hAnsi="Calibri" w:cs="Calibri"/>
          <w:color w:val="808080" w:themeColor="background1" w:themeShade="80"/>
        </w:rPr>
        <w:t>member</w:t>
      </w:r>
      <w:r w:rsidR="00137C6C">
        <w:rPr>
          <w:rFonts w:ascii="Calibri" w:hAnsi="Calibri" w:cs="Calibri"/>
          <w:color w:val="808080" w:themeColor="background1" w:themeShade="80"/>
        </w:rPr>
        <w:t>s</w:t>
      </w:r>
      <w:r w:rsidR="00FA623B">
        <w:rPr>
          <w:rFonts w:ascii="Calibri" w:hAnsi="Calibri" w:cs="Calibri"/>
          <w:color w:val="808080" w:themeColor="background1" w:themeShade="80"/>
        </w:rPr>
        <w:t xml:space="preserve"> </w:t>
      </w:r>
      <w:r>
        <w:rPr>
          <w:rFonts w:ascii="Calibri" w:hAnsi="Calibri" w:cs="Calibri"/>
          <w:color w:val="808080" w:themeColor="background1" w:themeShade="80"/>
        </w:rPr>
        <w:t xml:space="preserve">vote </w:t>
      </w:r>
      <w:r w:rsidR="00B64F02" w:rsidRPr="00A63D14">
        <w:rPr>
          <w:rFonts w:ascii="Calibri" w:hAnsi="Calibri" w:cs="Calibri"/>
          <w:color w:val="808080" w:themeColor="background1" w:themeShade="80"/>
        </w:rPr>
        <w:t>yes</w:t>
      </w:r>
      <w:r w:rsidR="00A63D14">
        <w:rPr>
          <w:rFonts w:ascii="Calibri" w:hAnsi="Calibri" w:cs="Calibri"/>
          <w:color w:val="808080" w:themeColor="background1" w:themeShade="80"/>
        </w:rPr>
        <w:t>, hence the ballot passes.</w:t>
      </w:r>
    </w:p>
    <w:p w14:paraId="726AB172" w14:textId="18C48E8B" w:rsidR="00B64F02" w:rsidRPr="00A63D14" w:rsidRDefault="00B64F02" w:rsidP="00A63D14">
      <w:pPr>
        <w:pStyle w:val="NoSpacing"/>
        <w:ind w:left="2160"/>
        <w:rPr>
          <w:rFonts w:ascii="Calibri" w:hAnsi="Calibri" w:cs="Calibri"/>
          <w:color w:val="808080" w:themeColor="background1" w:themeShade="80"/>
        </w:rPr>
      </w:pPr>
      <w:r w:rsidRPr="00A63D14">
        <w:rPr>
          <w:rFonts w:ascii="Calibri" w:hAnsi="Calibri" w:cs="Calibri"/>
          <w:color w:val="808080" w:themeColor="background1" w:themeShade="80"/>
        </w:rPr>
        <w:t xml:space="preserve">John </w:t>
      </w:r>
      <w:r w:rsidR="00A63D14">
        <w:rPr>
          <w:rFonts w:ascii="Calibri" w:hAnsi="Calibri" w:cs="Calibri"/>
          <w:color w:val="808080" w:themeColor="background1" w:themeShade="80"/>
        </w:rPr>
        <w:t xml:space="preserve">Blyler </w:t>
      </w:r>
      <w:r w:rsidRPr="00A63D14">
        <w:rPr>
          <w:rFonts w:ascii="Calibri" w:hAnsi="Calibri" w:cs="Calibri"/>
          <w:color w:val="808080" w:themeColor="background1" w:themeShade="80"/>
        </w:rPr>
        <w:t xml:space="preserve">to provide </w:t>
      </w:r>
      <w:r w:rsidR="00A63D14">
        <w:rPr>
          <w:rFonts w:ascii="Calibri" w:hAnsi="Calibri" w:cs="Calibri"/>
          <w:color w:val="808080" w:themeColor="background1" w:themeShade="80"/>
        </w:rPr>
        <w:t>draft</w:t>
      </w:r>
      <w:r w:rsidRPr="00A63D14">
        <w:rPr>
          <w:rFonts w:ascii="Calibri" w:hAnsi="Calibri" w:cs="Calibri"/>
          <w:color w:val="808080" w:themeColor="background1" w:themeShade="80"/>
        </w:rPr>
        <w:t xml:space="preserve"> </w:t>
      </w:r>
      <w:proofErr w:type="spellStart"/>
      <w:r w:rsidR="00A63D14">
        <w:rPr>
          <w:rFonts w:ascii="Calibri" w:hAnsi="Calibri" w:cs="Calibri"/>
          <w:color w:val="808080" w:themeColor="background1" w:themeShade="80"/>
        </w:rPr>
        <w:t>Framemaker</w:t>
      </w:r>
      <w:proofErr w:type="spellEnd"/>
      <w:r w:rsidR="00A63D14">
        <w:rPr>
          <w:rFonts w:ascii="Calibri" w:hAnsi="Calibri" w:cs="Calibri"/>
          <w:color w:val="808080" w:themeColor="background1" w:themeShade="80"/>
        </w:rPr>
        <w:t xml:space="preserve"> source and PDF</w:t>
      </w:r>
      <w:r w:rsidRPr="00A63D14">
        <w:rPr>
          <w:rFonts w:ascii="Calibri" w:hAnsi="Calibri" w:cs="Calibri"/>
          <w:color w:val="808080" w:themeColor="background1" w:themeShade="80"/>
        </w:rPr>
        <w:t xml:space="preserve"> for</w:t>
      </w:r>
      <w:r w:rsidR="00366508">
        <w:rPr>
          <w:rFonts w:ascii="Calibri" w:hAnsi="Calibri" w:cs="Calibri"/>
          <w:color w:val="808080" w:themeColor="background1" w:themeShade="80"/>
        </w:rPr>
        <w:t xml:space="preserve"> the</w:t>
      </w:r>
      <w:r w:rsidRPr="00A63D14">
        <w:rPr>
          <w:rFonts w:ascii="Calibri" w:hAnsi="Calibri" w:cs="Calibri"/>
          <w:color w:val="808080" w:themeColor="background1" w:themeShade="80"/>
        </w:rPr>
        <w:t xml:space="preserve"> MEC</w:t>
      </w:r>
      <w:r w:rsidR="00A63D14">
        <w:rPr>
          <w:rFonts w:ascii="Calibri" w:hAnsi="Calibri" w:cs="Calibri"/>
          <w:color w:val="808080" w:themeColor="background1" w:themeShade="80"/>
        </w:rPr>
        <w:t xml:space="preserve"> review</w:t>
      </w:r>
      <w:r w:rsidRPr="00A63D14">
        <w:rPr>
          <w:rFonts w:ascii="Calibri" w:hAnsi="Calibri" w:cs="Calibri"/>
          <w:color w:val="808080" w:themeColor="background1" w:themeShade="80"/>
        </w:rPr>
        <w:t xml:space="preserve"> </w:t>
      </w:r>
      <w:r w:rsidR="00A63D14">
        <w:rPr>
          <w:rFonts w:ascii="Calibri" w:hAnsi="Calibri" w:cs="Calibri"/>
          <w:color w:val="808080" w:themeColor="background1" w:themeShade="80"/>
        </w:rPr>
        <w:t>to the committee</w:t>
      </w:r>
      <w:r w:rsidR="00366508">
        <w:rPr>
          <w:rFonts w:ascii="Calibri" w:hAnsi="Calibri" w:cs="Calibri"/>
          <w:color w:val="808080" w:themeColor="background1" w:themeShade="80"/>
        </w:rPr>
        <w:t xml:space="preserve"> members</w:t>
      </w:r>
      <w:r w:rsidR="00A63D14">
        <w:rPr>
          <w:rFonts w:ascii="Calibri" w:hAnsi="Calibri" w:cs="Calibri"/>
          <w:color w:val="808080" w:themeColor="background1" w:themeShade="80"/>
        </w:rPr>
        <w:t xml:space="preserve"> for </w:t>
      </w:r>
      <w:r w:rsidRPr="00A63D14">
        <w:rPr>
          <w:rFonts w:ascii="Calibri" w:hAnsi="Calibri" w:cs="Calibri"/>
          <w:color w:val="808080" w:themeColor="background1" w:themeShade="80"/>
        </w:rPr>
        <w:t>Erwin</w:t>
      </w:r>
      <w:r w:rsidR="00A63D14">
        <w:rPr>
          <w:rFonts w:ascii="Calibri" w:hAnsi="Calibri" w:cs="Calibri"/>
          <w:color w:val="808080" w:themeColor="background1" w:themeShade="80"/>
        </w:rPr>
        <w:t xml:space="preserve"> de Kock</w:t>
      </w:r>
      <w:r w:rsidRPr="00A63D14">
        <w:rPr>
          <w:rFonts w:ascii="Calibri" w:hAnsi="Calibri" w:cs="Calibri"/>
          <w:color w:val="808080" w:themeColor="background1" w:themeShade="80"/>
        </w:rPr>
        <w:t xml:space="preserve"> to review before submission to MEC</w:t>
      </w:r>
      <w:r w:rsidR="00A63D14" w:rsidRPr="00A63D14">
        <w:rPr>
          <w:rFonts w:ascii="Calibri" w:hAnsi="Calibri" w:cs="Calibri"/>
          <w:color w:val="808080" w:themeColor="background1" w:themeShade="80"/>
        </w:rPr>
        <w:t xml:space="preserve"> before the end of the day tomorrow.</w:t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6DE38B62" w14:textId="215AA909" w:rsidR="000E7636" w:rsidRPr="000E7636" w:rsidRDefault="00914DD2" w:rsidP="000E7636">
      <w:pPr>
        <w:pStyle w:val="NoSpacing"/>
        <w:ind w:left="1080"/>
        <w:rPr>
          <w:rFonts w:ascii="Calibri" w:hAnsi="Calibri" w:cs="Calibri"/>
          <w:b/>
          <w:bCs/>
        </w:rPr>
      </w:pPr>
      <w:r w:rsidRPr="000E7636">
        <w:rPr>
          <w:rFonts w:ascii="Calibri" w:hAnsi="Calibri" w:cs="Calibri"/>
          <w:b/>
          <w:bCs/>
        </w:rPr>
        <w:t>Time line</w:t>
      </w:r>
      <w:r w:rsidR="00B77EE1">
        <w:rPr>
          <w:rFonts w:ascii="Calibri" w:hAnsi="Calibri" w:cs="Calibri"/>
          <w:b/>
          <w:bCs/>
        </w:rPr>
        <w:t xml:space="preserve"> if draft is approved</w:t>
      </w:r>
    </w:p>
    <w:p w14:paraId="63197A68" w14:textId="77777777" w:rsidR="000E7636" w:rsidRDefault="00914DD2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E7636">
        <w:rPr>
          <w:rFonts w:ascii="Calibri" w:hAnsi="Calibri" w:cs="Calibri"/>
        </w:rPr>
        <w:t>Now: inform DASC, submit draft to MEC, initiate SA Ballot invitation</w:t>
      </w:r>
    </w:p>
    <w:p w14:paraId="45C6F5C1" w14:textId="4431C738" w:rsidR="000E7636" w:rsidRDefault="00914DD2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E7636">
        <w:rPr>
          <w:rFonts w:ascii="Calibri" w:hAnsi="Calibri" w:cs="Calibri"/>
        </w:rPr>
        <w:t>End of October: update draft based on MEC review and last comments from WG</w:t>
      </w:r>
      <w:r w:rsidR="000E7636" w:rsidRPr="000E7636">
        <w:rPr>
          <w:rFonts w:ascii="Calibri" w:hAnsi="Calibri" w:cs="Calibri"/>
        </w:rPr>
        <w:t xml:space="preserve"> (</w:t>
      </w:r>
      <w:r w:rsidR="00B77EE1">
        <w:rPr>
          <w:rFonts w:ascii="Calibri" w:hAnsi="Calibri" w:cs="Calibri"/>
        </w:rPr>
        <w:t xml:space="preserve">e.g. </w:t>
      </w:r>
      <w:hyperlink r:id="rId13" w:history="1">
        <w:r w:rsidR="000E7636" w:rsidRPr="000E7636">
          <w:rPr>
            <w:rStyle w:val="Hyperlink"/>
            <w:rFonts w:ascii="Calibri" w:hAnsi="Calibri" w:cs="Calibri"/>
          </w:rPr>
          <w:t>Comment 35</w:t>
        </w:r>
      </w:hyperlink>
      <w:r w:rsidR="000E7636" w:rsidRPr="000E7636">
        <w:rPr>
          <w:rFonts w:ascii="Calibri" w:hAnsi="Calibri" w:cs="Calibri"/>
        </w:rPr>
        <w:t xml:space="preserve">, </w:t>
      </w:r>
      <w:hyperlink r:id="rId14" w:history="1">
        <w:r w:rsidR="000E7636" w:rsidRPr="000E7636">
          <w:rPr>
            <w:rStyle w:val="Hyperlink"/>
            <w:rFonts w:ascii="Calibri" w:hAnsi="Calibri" w:cs="Calibri"/>
          </w:rPr>
          <w:t>Comment 36</w:t>
        </w:r>
      </w:hyperlink>
      <w:r w:rsidR="000E7636" w:rsidRPr="000E7636">
        <w:rPr>
          <w:rFonts w:ascii="Calibri" w:hAnsi="Calibri" w:cs="Calibri"/>
        </w:rPr>
        <w:t xml:space="preserve">, </w:t>
      </w:r>
      <w:hyperlink r:id="rId15" w:history="1">
        <w:r w:rsidR="000E7636" w:rsidRPr="000E7636">
          <w:rPr>
            <w:rStyle w:val="Hyperlink"/>
            <w:rFonts w:ascii="Calibri" w:hAnsi="Calibri" w:cs="Calibri"/>
          </w:rPr>
          <w:t>Comment 37</w:t>
        </w:r>
      </w:hyperlink>
      <w:r w:rsidR="000E7636" w:rsidRPr="000E7636">
        <w:rPr>
          <w:rFonts w:ascii="Calibri" w:hAnsi="Calibri" w:cs="Calibri"/>
        </w:rPr>
        <w:t>)</w:t>
      </w:r>
    </w:p>
    <w:p w14:paraId="3ED5252E" w14:textId="638C60E4" w:rsidR="000E7636" w:rsidRDefault="000E7636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E7636">
        <w:rPr>
          <w:rFonts w:ascii="Calibri" w:hAnsi="Calibri" w:cs="Calibri"/>
        </w:rPr>
        <w:t xml:space="preserve">Mid November: Initiate </w:t>
      </w:r>
      <w:proofErr w:type="gramStart"/>
      <w:r w:rsidRPr="000E7636">
        <w:rPr>
          <w:rFonts w:ascii="Calibri" w:hAnsi="Calibri" w:cs="Calibri"/>
        </w:rPr>
        <w:t>30 day</w:t>
      </w:r>
      <w:proofErr w:type="gramEnd"/>
      <w:r w:rsidRPr="000E7636">
        <w:rPr>
          <w:rFonts w:ascii="Calibri" w:hAnsi="Calibri" w:cs="Calibri"/>
        </w:rPr>
        <w:t xml:space="preserve"> SA Ballot and 60 day public review. (</w:t>
      </w:r>
      <w:proofErr w:type="gramStart"/>
      <w:r w:rsidRPr="000E7636">
        <w:rPr>
          <w:rFonts w:ascii="Calibri" w:hAnsi="Calibri" w:cs="Calibri"/>
        </w:rPr>
        <w:t>recirculation</w:t>
      </w:r>
      <w:proofErr w:type="gramEnd"/>
      <w:r w:rsidRPr="000E7636">
        <w:rPr>
          <w:rFonts w:ascii="Calibri" w:hAnsi="Calibri" w:cs="Calibri"/>
        </w:rPr>
        <w:t xml:space="preserve"> is 10 days)</w:t>
      </w:r>
    </w:p>
    <w:p w14:paraId="1B6DFE25" w14:textId="49BF36D4" w:rsidR="000E7636" w:rsidRDefault="000E7636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Mid December: Close SA Ballot</w:t>
      </w:r>
    </w:p>
    <w:p w14:paraId="47A733CA" w14:textId="024C8D46" w:rsidR="000E7636" w:rsidRDefault="000E7636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Mid January</w:t>
      </w:r>
      <w:proofErr w:type="spellEnd"/>
      <w:r>
        <w:rPr>
          <w:rFonts w:ascii="Calibri" w:hAnsi="Calibri" w:cs="Calibri"/>
        </w:rPr>
        <w:t>: Close public review</w:t>
      </w:r>
    </w:p>
    <w:p w14:paraId="4DD476F1" w14:textId="1CBE0D5E" w:rsidR="000E7636" w:rsidRDefault="00B77EE1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February: submit to </w:t>
      </w:r>
      <w:proofErr w:type="spellStart"/>
      <w:r>
        <w:rPr>
          <w:rFonts w:ascii="Calibri" w:hAnsi="Calibri" w:cs="Calibri"/>
        </w:rPr>
        <w:t>RevCom</w:t>
      </w:r>
      <w:proofErr w:type="spellEnd"/>
    </w:p>
    <w:p w14:paraId="42138D6A" w14:textId="6E955965" w:rsidR="00B77EE1" w:rsidRPr="000E7636" w:rsidRDefault="00B77EE1" w:rsidP="000E7636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March: approval SASB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0F98F9A2" w14:textId="77777777" w:rsidR="00690CBC" w:rsidRPr="001529C7" w:rsidRDefault="00690CBC" w:rsidP="00690CBC">
      <w:pPr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No new business was stated.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6FFC9023" w14:textId="0D06AF51" w:rsidR="00B64F02" w:rsidRPr="00B64F02" w:rsidRDefault="008E057B" w:rsidP="00B64F02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67B332C9" w14:textId="3E6FCD7C" w:rsidR="005279C4" w:rsidRPr="00B64F02" w:rsidRDefault="00B77EE1" w:rsidP="00B64F02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Oct. </w:t>
      </w:r>
      <w:r w:rsidR="00B64F02">
        <w:rPr>
          <w:rFonts w:ascii="Calibri" w:hAnsi="Calibri" w:cs="Calibri"/>
        </w:rPr>
        <w:t>14</w:t>
      </w:r>
      <w:r w:rsidR="00CD0024">
        <w:rPr>
          <w:rFonts w:ascii="Calibri" w:hAnsi="Calibri" w:cs="Calibri"/>
        </w:rPr>
        <w:t>, 10:00-11:30 AM EST</w:t>
      </w:r>
    </w:p>
    <w:p w14:paraId="6220AD1A" w14:textId="23341F75" w:rsidR="00B64F02" w:rsidRPr="000D6180" w:rsidRDefault="00B64F02" w:rsidP="00B64F02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Oct. 28, 10:00-11:30 AM EST</w:t>
      </w:r>
    </w:p>
    <w:p w14:paraId="13A2A856" w14:textId="77777777" w:rsidR="00B64F02" w:rsidRPr="000D6180" w:rsidRDefault="00B64F02" w:rsidP="005279C4">
      <w:pPr>
        <w:pStyle w:val="NoSpacing"/>
        <w:ind w:left="720"/>
        <w:rPr>
          <w:rFonts w:ascii="Calibri" w:hAnsi="Calibri" w:cs="Calibri"/>
        </w:rPr>
      </w:pPr>
    </w:p>
    <w:p w14:paraId="67956381" w14:textId="77777777" w:rsidR="00690CBC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</w:p>
    <w:p w14:paraId="3C72297F" w14:textId="72DE547B" w:rsidR="00690CBC" w:rsidRPr="00A63D14" w:rsidRDefault="00690CBC" w:rsidP="00A63D14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John Blyler (</w:t>
      </w:r>
      <w:proofErr w:type="spellStart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Accellera</w:t>
      </w:r>
      <w:proofErr w:type="spellEnd"/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077137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David Courtright (AMD, DR)</w:t>
      </w: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Edwin Dankert (ARM, DR)</w:t>
      </w:r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Jean-Michel Fernandez (</w:t>
      </w:r>
      <w:proofErr w:type="spellStart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Arteris</w:t>
      </w:r>
      <w:proofErr w:type="spellEnd"/>
      <w:r w:rsidRPr="00D061E0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Eyal Herzberg (Cadence, DR) </w:t>
      </w:r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Li Jun (</w:t>
      </w:r>
      <w:proofErr w:type="spellStart"/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Couldwalk</w:t>
      </w:r>
      <w:proofErr w:type="spellEnd"/>
      <w:r w:rsidRPr="00A63D14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DR)</w:t>
      </w:r>
    </w:p>
    <w:p w14:paraId="02AEC675" w14:textId="1C34D1AC" w:rsidR="00690CBC" w:rsidRPr="00AF6C38" w:rsidRDefault="00690CBC" w:rsidP="00690CBC">
      <w:pPr>
        <w:pStyle w:val="ListParagraph"/>
        <w:spacing w:before="120"/>
        <w:ind w:left="1440"/>
        <w:rPr>
          <w:rStyle w:val="Hyperlink"/>
          <w:rFonts w:asciiTheme="minorHAnsi" w:hAnsiTheme="minorHAnsi" w:cstheme="minorHAnsi"/>
          <w:i/>
          <w:color w:val="808080" w:themeColor="background1" w:themeShade="80"/>
          <w:sz w:val="22"/>
          <w:szCs w:val="22"/>
          <w:u w:val="none"/>
        </w:rPr>
      </w:pP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Michael Velten (Infineon,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Kamlesh Pathak (Intel,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Scott Venier (NVIDIA,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Erwin de Kock (NXP,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David Cheng (Qualcomm,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Richard Weber (Semifore, DR) 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Thomas Burg (ST, DR)</w:t>
      </w:r>
      <w:r w:rsidRPr="00FE4683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>Mark Noll (Synopsys, DR)</w:t>
      </w:r>
    </w:p>
    <w:p w14:paraId="16AEBA40" w14:textId="67D81473" w:rsidR="00D851C0" w:rsidRDefault="00D851C0" w:rsidP="00690CBC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B03A3C" w14:textId="43E51A56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p w14:paraId="3C873B09" w14:textId="463117BF" w:rsidR="00690CBC" w:rsidRPr="00805CB6" w:rsidRDefault="00B64F02" w:rsidP="00805CB6">
      <w:pPr>
        <w:numPr>
          <w:ilvl w:val="1"/>
          <w:numId w:val="15"/>
        </w:numP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Mark Noll</w:t>
      </w:r>
      <w:r w:rsidR="00690CB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 moves to adjourn.</w:t>
      </w:r>
      <w:r w:rsidR="00690CBC" w:rsidRPr="00805CB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br/>
        <w:t xml:space="preserve">Erwin de Kock, </w:t>
      </w:r>
      <w:r w:rsidR="00690CBC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WG Chair adjourned the meeting at 1</w:t>
      </w:r>
      <w:r w:rsid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0</w:t>
      </w:r>
      <w:r w:rsidR="00690CBC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 w:rsid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45</w:t>
      </w:r>
      <w:r w:rsidR="00690CBC" w:rsidRPr="00805CB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AM EST.</w:t>
      </w:r>
    </w:p>
    <w:p w14:paraId="47302A10" w14:textId="01D26D12" w:rsidR="00690CBC" w:rsidRPr="00690CBC" w:rsidRDefault="00690CBC" w:rsidP="00690CBC">
      <w:pPr>
        <w:pStyle w:val="ListParagraph"/>
        <w:numPr>
          <w:ilvl w:val="1"/>
          <w:numId w:val="15"/>
        </w:numPr>
        <w:spacing w:before="120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25547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lastRenderedPageBreak/>
        <w:t>Minutes Posted by Richard Weber, WG Secretary.</w:t>
      </w:r>
    </w:p>
    <w:sectPr w:rsidR="00690CBC" w:rsidRPr="00690CBC" w:rsidSect="00B43366">
      <w:headerReference w:type="default" r:id="rId16"/>
      <w:footerReference w:type="default" r:id="rId17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A1F" w14:textId="77777777" w:rsidR="00DF58A5" w:rsidRDefault="00DF58A5" w:rsidP="002E6905">
      <w:r>
        <w:separator/>
      </w:r>
    </w:p>
  </w:endnote>
  <w:endnote w:type="continuationSeparator" w:id="0">
    <w:p w14:paraId="44861A3B" w14:textId="77777777" w:rsidR="00DF58A5" w:rsidRDefault="00DF58A5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B105" w14:textId="77777777" w:rsidR="00DF58A5" w:rsidRDefault="00DF58A5" w:rsidP="002E6905">
      <w:r>
        <w:separator/>
      </w:r>
    </w:p>
  </w:footnote>
  <w:footnote w:type="continuationSeparator" w:id="0">
    <w:p w14:paraId="12405F64" w14:textId="77777777" w:rsidR="00DF58A5" w:rsidRDefault="00DF58A5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76CA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8080" w:themeColor="background1" w:themeShade="8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695"/>
    <w:multiLevelType w:val="hybridMultilevel"/>
    <w:tmpl w:val="2B0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3"/>
  </w:num>
  <w:num w:numId="5">
    <w:abstractNumId w:val="0"/>
  </w:num>
  <w:num w:numId="6">
    <w:abstractNumId w:val="21"/>
  </w:num>
  <w:num w:numId="7">
    <w:abstractNumId w:val="2"/>
  </w:num>
  <w:num w:numId="8">
    <w:abstractNumId w:val="5"/>
  </w:num>
  <w:num w:numId="9">
    <w:abstractNumId w:val="22"/>
  </w:num>
  <w:num w:numId="10">
    <w:abstractNumId w:val="8"/>
  </w:num>
  <w:num w:numId="11">
    <w:abstractNumId w:val="19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4D05"/>
    <w:rsid w:val="000C754A"/>
    <w:rsid w:val="000E7636"/>
    <w:rsid w:val="001069B1"/>
    <w:rsid w:val="00137C6C"/>
    <w:rsid w:val="001B2020"/>
    <w:rsid w:val="001E1008"/>
    <w:rsid w:val="001F7281"/>
    <w:rsid w:val="001F7A45"/>
    <w:rsid w:val="002021A7"/>
    <w:rsid w:val="00290C67"/>
    <w:rsid w:val="0029504B"/>
    <w:rsid w:val="002D6A35"/>
    <w:rsid w:val="002E6905"/>
    <w:rsid w:val="00333BC0"/>
    <w:rsid w:val="00366508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A08D4"/>
    <w:rsid w:val="005D7528"/>
    <w:rsid w:val="00604168"/>
    <w:rsid w:val="0063429E"/>
    <w:rsid w:val="00652EB7"/>
    <w:rsid w:val="00690CBC"/>
    <w:rsid w:val="00695E17"/>
    <w:rsid w:val="006B386D"/>
    <w:rsid w:val="007232BE"/>
    <w:rsid w:val="007671E2"/>
    <w:rsid w:val="007C7EB6"/>
    <w:rsid w:val="00805CB6"/>
    <w:rsid w:val="00806069"/>
    <w:rsid w:val="00820FA0"/>
    <w:rsid w:val="00833F20"/>
    <w:rsid w:val="008E057B"/>
    <w:rsid w:val="008E3857"/>
    <w:rsid w:val="008E761D"/>
    <w:rsid w:val="008F1DE5"/>
    <w:rsid w:val="008F37CC"/>
    <w:rsid w:val="00907066"/>
    <w:rsid w:val="00914DD2"/>
    <w:rsid w:val="009B1521"/>
    <w:rsid w:val="009C2FC8"/>
    <w:rsid w:val="009C498F"/>
    <w:rsid w:val="009F3291"/>
    <w:rsid w:val="00A2720C"/>
    <w:rsid w:val="00A34D80"/>
    <w:rsid w:val="00A63D14"/>
    <w:rsid w:val="00A82455"/>
    <w:rsid w:val="00A92E5C"/>
    <w:rsid w:val="00AA1242"/>
    <w:rsid w:val="00AA591B"/>
    <w:rsid w:val="00AB1762"/>
    <w:rsid w:val="00AB7EC1"/>
    <w:rsid w:val="00AC7FB0"/>
    <w:rsid w:val="00AF1BAB"/>
    <w:rsid w:val="00B43366"/>
    <w:rsid w:val="00B527CA"/>
    <w:rsid w:val="00B64F02"/>
    <w:rsid w:val="00B65C25"/>
    <w:rsid w:val="00B76A06"/>
    <w:rsid w:val="00B77EE1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08B"/>
    <w:rsid w:val="00D938EA"/>
    <w:rsid w:val="00DC7F4A"/>
    <w:rsid w:val="00DF58A5"/>
    <w:rsid w:val="00E606E3"/>
    <w:rsid w:val="00E65521"/>
    <w:rsid w:val="00E719DC"/>
    <w:rsid w:val="00E73193"/>
    <w:rsid w:val="00E8316A"/>
    <w:rsid w:val="00EB6FB9"/>
    <w:rsid w:val="00EC52C8"/>
    <w:rsid w:val="00EE5CB1"/>
    <w:rsid w:val="00EF5154"/>
    <w:rsid w:val="00F17229"/>
    <w:rsid w:val="00F2168A"/>
    <w:rsid w:val="00F32988"/>
    <w:rsid w:val="00F83231"/>
    <w:rsid w:val="00FA623B"/>
    <w:rsid w:val="00FC068E"/>
    <w:rsid w:val="00FD2C8F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1685/folder/WzIwLDEzNzk3NjAyXQ/WzIsODEwMDY2NjVd/" TargetMode="External"/><Relationship Id="rId13" Type="http://schemas.openxmlformats.org/officeDocument/2006/relationships/hyperlink" Target="https://ieee-sa.imeetcentral.com/p1685/doc/WzIsODA5OTc3MzJd/w-Comment35CardinalityForPartSelec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jg5XQ/WzIsODA5OTEwNDd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1685/folder/WzIwLDEzNzEwMzA1XQ/WzIsNzQ1OTA1Nj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-sa.imeetcentral.com/p1685/doc/WzIsODEwMDM3NzFd/w-Comment37SchemaChangeUnexpectedComplexElement" TargetMode="External"/><Relationship Id="rId10" Type="http://schemas.openxmlformats.org/officeDocument/2006/relationships/hyperlink" Target="https://standards.ieee.org/ipr/copyright-material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https://ieee-sa.imeetcentral.com/p1685/doc/WzIsODA5OTg3NDld/w-Comment36UnpackedAndArraysConnec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74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Richard Weber</cp:lastModifiedBy>
  <cp:revision>37</cp:revision>
  <cp:lastPrinted>2019-10-01T14:16:00Z</cp:lastPrinted>
  <dcterms:created xsi:type="dcterms:W3CDTF">2020-02-04T18:16:00Z</dcterms:created>
  <dcterms:modified xsi:type="dcterms:W3CDTF">2021-09-30T15:07:00Z</dcterms:modified>
</cp:coreProperties>
</file>