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D11684D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973F58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FA018C">
        <w:rPr>
          <w:rFonts w:ascii="Calibri" w:hAnsi="Calibri" w:cs="Calibri"/>
        </w:rPr>
        <w:t>9</w:t>
      </w:r>
      <w:r w:rsidR="00F32988">
        <w:rPr>
          <w:rFonts w:ascii="Calibri" w:hAnsi="Calibri" w:cs="Calibri"/>
        </w:rPr>
        <w:t xml:space="preserve"> </w:t>
      </w:r>
      <w:r w:rsidR="00FA018C">
        <w:rPr>
          <w:rFonts w:ascii="Calibri" w:hAnsi="Calibri" w:cs="Calibri"/>
        </w:rPr>
        <w:t>December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FA018C" w:rsidRPr="00FA018C">
        <w:rPr>
          <w:rFonts w:ascii="Calibri" w:hAnsi="Calibri" w:cs="Calibri"/>
        </w:rPr>
        <w:t>126 333 222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5F328E4D" w:rsidR="005279C4" w:rsidRPr="00C81B07" w:rsidRDefault="00C81B07" w:rsidP="00C81B07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10:08 AM E</w:t>
      </w:r>
      <w:r w:rsidR="00F76D49">
        <w:rPr>
          <w:rFonts w:asciiTheme="minorHAnsi" w:hAnsiTheme="minorHAnsi" w:cstheme="minorHAnsi"/>
          <w:i/>
          <w:color w:val="808080" w:themeColor="background1" w:themeShade="80"/>
        </w:rPr>
        <w:t>S</w:t>
      </w:r>
      <w:r>
        <w:rPr>
          <w:rFonts w:asciiTheme="minorHAnsi" w:hAnsiTheme="minorHAnsi" w:cstheme="minorHAnsi"/>
          <w:i/>
          <w:color w:val="808080" w:themeColor="background1" w:themeShade="80"/>
        </w:rPr>
        <w:t>T</w:t>
      </w: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00D9FD3A" w:rsidR="005279C4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proofErr w:type="gram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>:</w:t>
      </w:r>
      <w:proofErr w:type="gramEnd"/>
      <w:r w:rsidRPr="00AB7EC1">
        <w:rPr>
          <w:rFonts w:ascii="Calibri" w:hAnsi="Calibri" w:cs="Calibri"/>
          <w:bCs/>
          <w:i/>
          <w:lang w:val="fr-FR"/>
        </w:rPr>
        <w:t xml:space="preserve">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</w:p>
    <w:p w14:paraId="194C037B" w14:textId="38CBBA03" w:rsidR="00C81B07" w:rsidRPr="00723F25" w:rsidRDefault="00C81B07" w:rsidP="00723F25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0C5FC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0C5FC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David </w:t>
      </w:r>
      <w:proofErr w:type="spellStart"/>
      <w:r w:rsidR="000C5FCD"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Courtright</w:t>
      </w:r>
      <w:proofErr w:type="spellEnd"/>
      <w:r w:rsidR="000C5FC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(AMD, DR)</w:t>
      </w:r>
      <w:r w:rsid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Edwin Dankert (ARM,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Gregoire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Avot (</w:t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</w:t>
      </w:r>
      <w:r w:rsidR="004071B4">
        <w:rPr>
          <w:rFonts w:asciiTheme="minorHAnsi" w:hAnsiTheme="minorHAnsi" w:cstheme="minorHAnsi"/>
          <w:i/>
          <w:color w:val="808080" w:themeColor="background1" w:themeShade="80"/>
          <w:lang w:val="fr-FR"/>
        </w:rPr>
        <w:t>DRA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Benoit </w:t>
      </w:r>
      <w:proofErr w:type="spellStart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Lafrage</w:t>
      </w:r>
      <w:proofErr w:type="spellEnd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</w:t>
      </w:r>
      <w:r w:rsidR="004071B4">
        <w:rPr>
          <w:rFonts w:asciiTheme="minorHAnsi" w:hAnsiTheme="minorHAnsi" w:cstheme="minorHAnsi"/>
          <w:i/>
          <w:color w:val="808080" w:themeColor="background1" w:themeShade="80"/>
          <w:lang w:val="fr-FR"/>
        </w:rPr>
        <w:t>DRA</w:t>
      </w:r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Vincent Thibaut(</w:t>
      </w:r>
      <w:proofErr w:type="spellStart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</w:t>
      </w:r>
      <w:r w:rsidR="004071B4">
        <w:rPr>
          <w:rFonts w:asciiTheme="minorHAnsi" w:hAnsiTheme="minorHAnsi" w:cstheme="minorHAnsi"/>
          <w:i/>
          <w:color w:val="808080" w:themeColor="background1" w:themeShade="80"/>
          <w:lang w:val="fr-FR"/>
        </w:rPr>
        <w:t>DRA</w:t>
      </w:r>
      <w:r w:rsidR="00723F25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 w:rsidR="00CF4D7D">
        <w:rPr>
          <w:rFonts w:asciiTheme="minorHAnsi" w:hAnsiTheme="minorHAnsi" w:cstheme="minorHAnsi"/>
          <w:i/>
          <w:color w:val="808080" w:themeColor="background1" w:themeShade="80"/>
          <w:lang w:val="fr-FR"/>
        </w:rPr>
        <w:t>lou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dwalk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Michael Velten (</w:t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643E65">
        <w:rPr>
          <w:rFonts w:asciiTheme="minorHAnsi" w:hAnsiTheme="minorHAnsi" w:cstheme="minorHAnsi"/>
          <w:i/>
          <w:color w:val="808080" w:themeColor="background1" w:themeShade="80"/>
          <w:lang w:val="fr-FR"/>
        </w:rPr>
        <w:t>Richard Weber (</w:t>
      </w:r>
      <w:proofErr w:type="spellStart"/>
      <w:r w:rsidR="00643E65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="00643E6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</w:p>
    <w:p w14:paraId="09BFAC92" w14:textId="77777777" w:rsidR="00C81B07" w:rsidRPr="00E8316A" w:rsidRDefault="00C81B07" w:rsidP="00E719DC">
      <w:pPr>
        <w:pStyle w:val="NoSpacing"/>
        <w:ind w:left="720"/>
        <w:rPr>
          <w:rFonts w:ascii="Calibri" w:hAnsi="Calibri" w:cs="Calibri"/>
          <w:lang w:val="fr-FR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436EA0B2" w14:textId="0CB9C39A" w:rsidR="00643E65" w:rsidRPr="00025429" w:rsidRDefault="00643E65" w:rsidP="00643E65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Vincent Thibaut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Mark Noll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CAF7D82" w14:textId="77777777" w:rsidR="00643E65" w:rsidRDefault="00643E65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443E8391" w14:textId="39C9C5E5" w:rsidR="00643E65" w:rsidRPr="00BF1A73" w:rsidRDefault="002678D2" w:rsidP="00643E65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FA018C">
          <w:rPr>
            <w:rStyle w:val="Hyperlink"/>
            <w:rFonts w:ascii="Calibri" w:hAnsi="Calibri" w:cs="Calibri"/>
          </w:rPr>
          <w:t>2021-10-28-minutes.docx</w:t>
        </w:r>
      </w:hyperlink>
      <w:r w:rsidR="00D851C0" w:rsidRPr="00BF1A73">
        <w:rPr>
          <w:rFonts w:ascii="Calibri" w:hAnsi="Calibri" w:cs="Calibri"/>
        </w:rPr>
        <w:br/>
      </w:r>
      <w:r w:rsidR="00643E65">
        <w:rPr>
          <w:rFonts w:asciiTheme="minorHAnsi" w:hAnsiTheme="minorHAnsi" w:cstheme="minorHAnsi"/>
          <w:i/>
          <w:color w:val="808080" w:themeColor="background1" w:themeShade="80"/>
        </w:rPr>
        <w:t>Vincent Thibaut moves a motion to approve the minutes.</w:t>
      </w:r>
      <w:r w:rsidR="00643E65">
        <w:rPr>
          <w:rFonts w:asciiTheme="minorHAnsi" w:hAnsiTheme="minorHAnsi" w:cstheme="minorHAnsi"/>
          <w:i/>
          <w:color w:val="808080" w:themeColor="background1" w:themeShade="80"/>
        </w:rPr>
        <w:br/>
        <w:t>Mark Noll seconds the motion.</w:t>
      </w:r>
      <w:r w:rsidR="00643E65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643E65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</w:t>
      </w:r>
      <w:r w:rsidR="00643E65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1B036ADA" w14:textId="77777777" w:rsidR="00C92DE3" w:rsidRPr="00A402D6" w:rsidRDefault="00C92DE3" w:rsidP="00C92DE3">
      <w:pPr>
        <w:numPr>
          <w:ilvl w:val="0"/>
          <w:numId w:val="27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6D2700BD" w14:textId="77777777" w:rsidR="00C92DE3" w:rsidRPr="00690CBC" w:rsidRDefault="00C92DE3" w:rsidP="00C92DE3">
      <w:pPr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1DC3FA95" w:rsidR="00D95464" w:rsidRPr="00826656" w:rsidRDefault="002678D2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5064C686" w14:textId="77777777" w:rsidR="00C92DE3" w:rsidRPr="002903DE" w:rsidRDefault="00C92DE3" w:rsidP="00C92DE3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1883200C" w14:textId="738A8514" w:rsidR="00D95464" w:rsidRDefault="00240D2E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Result of the formation of the </w:t>
      </w:r>
      <w:r w:rsidR="00D95464">
        <w:rPr>
          <w:rFonts w:ascii="Calibri" w:hAnsi="Calibri" w:cs="Calibri"/>
        </w:rPr>
        <w:t>Balloting Group</w:t>
      </w:r>
    </w:p>
    <w:p w14:paraId="24203F9C" w14:textId="2DBA28D2" w:rsidR="00826656" w:rsidRPr="00F12EB6" w:rsidRDefault="00826656" w:rsidP="0082665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>Group is formed and closed.  Need to start public review within 6 months</w:t>
      </w:r>
      <w:r w:rsidR="00F12EB6">
        <w:rPr>
          <w:rFonts w:ascii="Calibri" w:hAnsi="Calibri" w:cs="Calibri"/>
          <w:color w:val="808080" w:themeColor="background1" w:themeShade="80"/>
        </w:rPr>
        <w:t>.</w:t>
      </w:r>
    </w:p>
    <w:p w14:paraId="2E7DCC27" w14:textId="7714A62C" w:rsidR="00240D2E" w:rsidRPr="00826656" w:rsidRDefault="002678D2" w:rsidP="00D95464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3" w:history="1">
        <w:r w:rsidR="00240D2E" w:rsidRPr="00EB4538">
          <w:rPr>
            <w:rStyle w:val="Hyperlink"/>
            <w:rFonts w:ascii="Calibri" w:hAnsi="Calibri" w:cs="Calibri"/>
          </w:rPr>
          <w:t>MEC review comments</w:t>
        </w:r>
      </w:hyperlink>
    </w:p>
    <w:p w14:paraId="6E37EDE7" w14:textId="59BCC7C5" w:rsidR="00826656" w:rsidRPr="00F12EB6" w:rsidRDefault="00826656" w:rsidP="0082665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>John Blyler has made the recommended changes</w:t>
      </w:r>
      <w:r w:rsidR="00F12EB6" w:rsidRPr="00F12EB6">
        <w:rPr>
          <w:rFonts w:ascii="Calibri" w:hAnsi="Calibri" w:cs="Calibri"/>
          <w:color w:val="808080" w:themeColor="background1" w:themeShade="80"/>
        </w:rPr>
        <w:t>.</w:t>
      </w:r>
    </w:p>
    <w:p w14:paraId="3F0FB0A5" w14:textId="38C2EAFD" w:rsidR="00240D2E" w:rsidRDefault="00240D2E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meetings held in sub groups on Nov. 16 &amp; 18 to discuss </w:t>
      </w:r>
      <w:proofErr w:type="spellStart"/>
      <w:r>
        <w:rPr>
          <w:rFonts w:ascii="Calibri" w:hAnsi="Calibri" w:cs="Calibri"/>
        </w:rPr>
        <w:t>SystemVerilog</w:t>
      </w:r>
      <w:proofErr w:type="spellEnd"/>
      <w:r>
        <w:rPr>
          <w:rFonts w:ascii="Calibri" w:hAnsi="Calibri" w:cs="Calibri"/>
        </w:rPr>
        <w:t xml:space="preserve"> comments</w:t>
      </w:r>
    </w:p>
    <w:p w14:paraId="28BDCCA5" w14:textId="6811D33A" w:rsidR="00FB7CFA" w:rsidRPr="00F12EB6" w:rsidRDefault="00FB7CFA" w:rsidP="00F12EB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>Proposal to add Boolean attribute to interface element called phantom</w:t>
      </w:r>
      <w:r w:rsidR="00FB0A83" w:rsidRPr="00F12EB6">
        <w:rPr>
          <w:rFonts w:ascii="Calibri" w:hAnsi="Calibri" w:cs="Calibri"/>
          <w:color w:val="808080" w:themeColor="background1" w:themeShade="80"/>
        </w:rPr>
        <w:t>.</w:t>
      </w:r>
    </w:p>
    <w:p w14:paraId="561B13BF" w14:textId="09283F52" w:rsidR="00FB7CFA" w:rsidRPr="00F12EB6" w:rsidRDefault="00FB0A83" w:rsidP="00F12EB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 xml:space="preserve">Proposal to make </w:t>
      </w:r>
      <w:r w:rsidR="00FB7CFA" w:rsidRPr="00F12EB6">
        <w:rPr>
          <w:rFonts w:ascii="Calibri" w:hAnsi="Calibri" w:cs="Calibri"/>
          <w:color w:val="808080" w:themeColor="background1" w:themeShade="80"/>
        </w:rPr>
        <w:t xml:space="preserve">subports, </w:t>
      </w:r>
      <w:proofErr w:type="spellStart"/>
      <w:r w:rsidR="00FB7CFA" w:rsidRPr="00F12EB6">
        <w:rPr>
          <w:rFonts w:ascii="Calibri" w:hAnsi="Calibri" w:cs="Calibri"/>
          <w:color w:val="808080" w:themeColor="background1" w:themeShade="80"/>
        </w:rPr>
        <w:t>structPortTypedefs</w:t>
      </w:r>
      <w:proofErr w:type="spellEnd"/>
      <w:r w:rsidR="00FB7CFA" w:rsidRPr="00F12EB6">
        <w:rPr>
          <w:rFonts w:ascii="Calibri" w:hAnsi="Calibri" w:cs="Calibri"/>
          <w:color w:val="808080" w:themeColor="background1" w:themeShade="80"/>
        </w:rPr>
        <w:t xml:space="preserve"> </w:t>
      </w:r>
      <w:r w:rsidRPr="00F12EB6">
        <w:rPr>
          <w:rFonts w:ascii="Calibri" w:hAnsi="Calibri" w:cs="Calibri"/>
          <w:color w:val="808080" w:themeColor="background1" w:themeShade="80"/>
        </w:rPr>
        <w:t xml:space="preserve">elements </w:t>
      </w:r>
      <w:r w:rsidR="00FB7CFA" w:rsidRPr="00F12EB6">
        <w:rPr>
          <w:rFonts w:ascii="Calibri" w:hAnsi="Calibri" w:cs="Calibri"/>
          <w:color w:val="808080" w:themeColor="background1" w:themeShade="80"/>
        </w:rPr>
        <w:t>optional</w:t>
      </w:r>
      <w:r w:rsidRPr="00F12EB6">
        <w:rPr>
          <w:rFonts w:ascii="Calibri" w:hAnsi="Calibri" w:cs="Calibri"/>
          <w:color w:val="808080" w:themeColor="background1" w:themeShade="80"/>
        </w:rPr>
        <w:t>.</w:t>
      </w:r>
    </w:p>
    <w:p w14:paraId="1CEE52D1" w14:textId="5AE2D437" w:rsidR="00FA018C" w:rsidRDefault="00045A3D" w:rsidP="00EB453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meetings held </w:t>
      </w:r>
      <w:r w:rsidR="00240D2E">
        <w:rPr>
          <w:rFonts w:ascii="Calibri" w:hAnsi="Calibri" w:cs="Calibri"/>
        </w:rPr>
        <w:t xml:space="preserve">in sub groups on </w:t>
      </w:r>
      <w:r>
        <w:rPr>
          <w:rFonts w:ascii="Calibri" w:hAnsi="Calibri" w:cs="Calibri"/>
        </w:rPr>
        <w:t>Nov. 15 &amp; 17 to discuss memory map / mode comments</w:t>
      </w:r>
    </w:p>
    <w:p w14:paraId="4AF41E24" w14:textId="35C3E1B0" w:rsidR="006D34D6" w:rsidRPr="00F12EB6" w:rsidRDefault="00115FB5" w:rsidP="006D34D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>Propose to create more explanation</w:t>
      </w:r>
      <w:r w:rsidR="00C3714F">
        <w:rPr>
          <w:rFonts w:ascii="Calibri" w:hAnsi="Calibri" w:cs="Calibri"/>
          <w:color w:val="808080" w:themeColor="background1" w:themeShade="80"/>
        </w:rPr>
        <w:t>s</w:t>
      </w:r>
      <w:r w:rsidRPr="00F12EB6">
        <w:rPr>
          <w:rFonts w:ascii="Calibri" w:hAnsi="Calibri" w:cs="Calibri"/>
          <w:color w:val="808080" w:themeColor="background1" w:themeShade="80"/>
        </w:rPr>
        <w:t xml:space="preserve"> of both options. David </w:t>
      </w:r>
      <w:r w:rsidR="00F12EB6">
        <w:rPr>
          <w:rFonts w:ascii="Calibri" w:hAnsi="Calibri" w:cs="Calibri"/>
          <w:color w:val="808080" w:themeColor="background1" w:themeShade="80"/>
        </w:rPr>
        <w:t>Courtright to expand option 1 and Erwin de Kock to expand option 2.</w:t>
      </w:r>
    </w:p>
    <w:p w14:paraId="0F0CC820" w14:textId="77777777" w:rsidR="00FB7CFA" w:rsidRDefault="002678D2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4" w:history="1">
        <w:r w:rsidR="00831AA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50</w:t>
        </w:r>
      </w:hyperlink>
      <w:r w:rsidR="00831AA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831AA0" w:rsidRPr="00F91A22">
        <w:rPr>
          <w:rFonts w:ascii="Calibri" w:hAnsi="Calibri" w:cs="Calibri"/>
        </w:rPr>
        <w:t>Default value for port</w:t>
      </w:r>
    </w:p>
    <w:p w14:paraId="139E323F" w14:textId="74D8CD19" w:rsidR="00F12EB6" w:rsidRPr="00F12EB6" w:rsidRDefault="00FB7CFA" w:rsidP="00F12EB6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F12EB6">
        <w:rPr>
          <w:rFonts w:ascii="Calibri" w:hAnsi="Calibri" w:cs="Calibri"/>
          <w:color w:val="808080" w:themeColor="background1" w:themeShade="80"/>
        </w:rPr>
        <w:t>Erwin</w:t>
      </w:r>
      <w:r w:rsidR="00F12EB6" w:rsidRPr="00F12EB6">
        <w:rPr>
          <w:rFonts w:ascii="Calibri" w:hAnsi="Calibri" w:cs="Calibri"/>
          <w:color w:val="808080" w:themeColor="background1" w:themeShade="80"/>
        </w:rPr>
        <w:t xml:space="preserve"> de Kock</w:t>
      </w:r>
      <w:r w:rsidRPr="00F12EB6">
        <w:rPr>
          <w:rFonts w:ascii="Calibri" w:hAnsi="Calibri" w:cs="Calibri"/>
          <w:color w:val="808080" w:themeColor="background1" w:themeShade="80"/>
        </w:rPr>
        <w:t xml:space="preserve"> proposed to add table to annex section C.30</w:t>
      </w:r>
    </w:p>
    <w:p w14:paraId="7B03B119" w14:textId="2679BE6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3152E3CC" w14:textId="286363DB" w:rsidR="00F91A22" w:rsidRDefault="00045A3D" w:rsidP="00F91A2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 w:rsidRPr="00F91A22">
        <w:rPr>
          <w:rFonts w:ascii="Calibri" w:hAnsi="Calibri" w:cs="Calibri"/>
        </w:rPr>
        <w:t xml:space="preserve">Recommendation from </w:t>
      </w:r>
      <w:proofErr w:type="spellStart"/>
      <w:r w:rsidRPr="00F91A22">
        <w:rPr>
          <w:rFonts w:ascii="Calibri" w:hAnsi="Calibri" w:cs="Calibri"/>
        </w:rPr>
        <w:t>SystemVerilog</w:t>
      </w:r>
      <w:proofErr w:type="spellEnd"/>
      <w:r w:rsidRPr="00F91A22">
        <w:rPr>
          <w:rFonts w:ascii="Calibri" w:hAnsi="Calibri" w:cs="Calibri"/>
        </w:rPr>
        <w:t xml:space="preserve"> sub group</w:t>
      </w:r>
      <w:r w:rsidR="00594B9C">
        <w:rPr>
          <w:rFonts w:ascii="Calibri" w:hAnsi="Calibri" w:cs="Calibri"/>
        </w:rPr>
        <w:br/>
        <w:t xml:space="preserve">1. </w:t>
      </w:r>
      <w:r w:rsidR="00594B9C" w:rsidRPr="00594B9C">
        <w:rPr>
          <w:rFonts w:ascii="Calibri" w:hAnsi="Calibri" w:cs="Calibri"/>
        </w:rPr>
        <w:t xml:space="preserve">To add a Boolean attribute named phantom to the interface element. </w:t>
      </w:r>
      <w:r w:rsidR="00594B9C">
        <w:rPr>
          <w:rFonts w:ascii="Calibri" w:hAnsi="Calibri" w:cs="Calibri"/>
        </w:rPr>
        <w:br/>
        <w:t xml:space="preserve">2. </w:t>
      </w:r>
      <w:r w:rsidR="00594B9C" w:rsidRPr="00594B9C">
        <w:rPr>
          <w:rFonts w:ascii="Calibri" w:hAnsi="Calibri" w:cs="Calibri"/>
        </w:rPr>
        <w:t xml:space="preserve">To make the </w:t>
      </w:r>
      <w:proofErr w:type="spellStart"/>
      <w:r w:rsidR="00594B9C" w:rsidRPr="00594B9C">
        <w:rPr>
          <w:rFonts w:ascii="Calibri" w:hAnsi="Calibri" w:cs="Calibri"/>
        </w:rPr>
        <w:t>subPorts</w:t>
      </w:r>
      <w:proofErr w:type="spellEnd"/>
      <w:r w:rsidR="00594B9C" w:rsidRPr="00594B9C">
        <w:rPr>
          <w:rFonts w:ascii="Calibri" w:hAnsi="Calibri" w:cs="Calibri"/>
        </w:rPr>
        <w:t xml:space="preserve"> element and the </w:t>
      </w:r>
      <w:proofErr w:type="spellStart"/>
      <w:r w:rsidR="00594B9C" w:rsidRPr="00594B9C">
        <w:rPr>
          <w:rFonts w:ascii="Calibri" w:hAnsi="Calibri" w:cs="Calibri"/>
        </w:rPr>
        <w:t>structPortTypeDefs</w:t>
      </w:r>
      <w:proofErr w:type="spellEnd"/>
      <w:r w:rsidR="00594B9C" w:rsidRPr="00594B9C">
        <w:rPr>
          <w:rFonts w:ascii="Calibri" w:hAnsi="Calibri" w:cs="Calibri"/>
        </w:rPr>
        <w:t xml:space="preserve"> element optional.</w:t>
      </w:r>
      <w:r w:rsidR="00F91A22">
        <w:rPr>
          <w:rFonts w:ascii="Calibri" w:hAnsi="Calibri" w:cs="Calibri"/>
        </w:rPr>
        <w:br/>
      </w:r>
      <w:r w:rsidR="00F91A22">
        <w:rPr>
          <w:rFonts w:ascii="Calibri" w:hAnsi="Calibri" w:cs="Calibri"/>
        </w:rPr>
        <w:br/>
      </w:r>
      <w:hyperlink r:id="rId15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39</w:t>
        </w:r>
      </w:hyperlink>
      <w:r w:rsidR="00F91A2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Physical port restrictions</w:t>
      </w:r>
    </w:p>
    <w:p w14:paraId="53F9C4E7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6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40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Hierachical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SV interface and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isIO</w:t>
      </w:r>
      <w:proofErr w:type="spellEnd"/>
    </w:p>
    <w:p w14:paraId="3003A9CF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7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45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Verilog </w:t>
      </w:r>
      <w:proofErr w:type="gramStart"/>
      <w:r w:rsidR="00F91A22">
        <w:rPr>
          <w:rFonts w:ascii="Helvetica" w:hAnsi="Helvetica" w:cs="Helvetica"/>
          <w:color w:val="323232"/>
          <w:sz w:val="20"/>
          <w:szCs w:val="20"/>
        </w:rPr>
        <w:t>To</w:t>
      </w:r>
      <w:proofErr w:type="gram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SystemVerilog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connection</w:t>
      </w:r>
    </w:p>
    <w:p w14:paraId="17964683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8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46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isIO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port reference ignore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modport</w:t>
      </w:r>
      <w:proofErr w:type="spellEnd"/>
    </w:p>
    <w:p w14:paraId="7B1BE109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9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47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> </w:t>
      </w:r>
      <w:r w:rsidR="00F91A2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Consecutive bits selection and Array of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SvInterface</w:t>
      </w:r>
      <w:proofErr w:type="spellEnd"/>
    </w:p>
    <w:p w14:paraId="22E434E4" w14:textId="77777777" w:rsidR="00F91A22" w:rsidRDefault="00F91A22" w:rsidP="00F91A22">
      <w:pPr>
        <w:pStyle w:val="NoSpacing"/>
        <w:ind w:left="1440"/>
        <w:rPr>
          <w:rFonts w:ascii="Calibri" w:hAnsi="Calibri" w:cs="Calibri"/>
        </w:rPr>
      </w:pPr>
    </w:p>
    <w:p w14:paraId="5313D608" w14:textId="75DFB9B4" w:rsidR="00594B9C" w:rsidRPr="00240D2E" w:rsidRDefault="00594B9C" w:rsidP="00F91A22">
      <w:pPr>
        <w:pStyle w:val="NoSpacing"/>
        <w:numPr>
          <w:ilvl w:val="1"/>
          <w:numId w:val="15"/>
        </w:numPr>
        <w:rPr>
          <w:rFonts w:ascii="Helvetica" w:hAnsi="Helvetica" w:cs="Helvetica"/>
          <w:color w:val="323232"/>
          <w:sz w:val="20"/>
          <w:szCs w:val="20"/>
        </w:rPr>
      </w:pPr>
      <w:r w:rsidRPr="009A6002">
        <w:rPr>
          <w:rFonts w:ascii="Calibri" w:hAnsi="Calibri" w:cs="Calibri"/>
        </w:rPr>
        <w:t>Discussion in memory map / mode sub group</w:t>
      </w:r>
      <w:r>
        <w:rPr>
          <w:rFonts w:ascii="Calibri" w:hAnsi="Calibri" w:cs="Calibri"/>
        </w:rPr>
        <w:br/>
      </w:r>
      <w:r w:rsidRPr="00594B9C">
        <w:rPr>
          <w:rFonts w:ascii="Calibri" w:hAnsi="Calibri" w:cs="Calibri"/>
        </w:rPr>
        <w:t>The WG needs to decide / clarify how modes and memory maps</w:t>
      </w:r>
      <w:r>
        <w:rPr>
          <w:rFonts w:ascii="Calibri" w:hAnsi="Calibri" w:cs="Calibri"/>
        </w:rPr>
        <w:t xml:space="preserve"> relate because different members have different interpretations.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31AA0" w:rsidRPr="00831AA0">
        <w:rPr>
          <w:rFonts w:ascii="Calibri" w:hAnsi="Calibri" w:cs="Calibri"/>
          <w:b/>
          <w:bCs/>
        </w:rPr>
        <w:t xml:space="preserve">Interpretation </w:t>
      </w:r>
      <w:r w:rsidRPr="00831AA0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A register transaction can “see” different modes in the path towards the registers, e.g., </w:t>
      </w:r>
      <w:proofErr w:type="spellStart"/>
      <w:r w:rsidRPr="00594B9C">
        <w:rPr>
          <w:rFonts w:ascii="Calibri" w:hAnsi="Calibri" w:cs="Calibri"/>
        </w:rPr>
        <w:t>modeA</w:t>
      </w:r>
      <w:proofErr w:type="spellEnd"/>
      <w:r w:rsidRPr="00594B9C">
        <w:rPr>
          <w:rFonts w:ascii="Calibri" w:hAnsi="Calibri" w:cs="Calibri"/>
        </w:rPr>
        <w:t xml:space="preserve"> in the address block and </w:t>
      </w:r>
      <w:proofErr w:type="spellStart"/>
      <w:r w:rsidRPr="00594B9C">
        <w:rPr>
          <w:rFonts w:ascii="Calibri" w:hAnsi="Calibri" w:cs="Calibri"/>
        </w:rPr>
        <w:t>modeB</w:t>
      </w:r>
      <w:proofErr w:type="spellEnd"/>
      <w:r w:rsidRPr="00594B9C">
        <w:rPr>
          <w:rFonts w:ascii="Calibri" w:hAnsi="Calibri" w:cs="Calibri"/>
        </w:rPr>
        <w:t xml:space="preserve"> in the register. Implications of that are:</w:t>
      </w:r>
    </w:p>
    <w:p w14:paraId="3B06D636" w14:textId="684B3D1D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Existing</w:t>
      </w:r>
      <w:r w:rsidRPr="00594B9C">
        <w:rPr>
          <w:rFonts w:ascii="Calibri" w:hAnsi="Calibri" w:cs="Calibri"/>
        </w:rPr>
        <w:t xml:space="preserve"> SCRs need to be removed.</w:t>
      </w:r>
    </w:p>
    <w:p w14:paraId="10549F46" w14:textId="299DC5BB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>A field access value needs to be computed by combining the access values of the elements on the path towards that field (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proofErr w:type="spellStart"/>
      <w:r w:rsidRPr="00594B9C">
        <w:rPr>
          <w:rFonts w:ascii="Calibri" w:hAnsi="Calibri" w:cs="Calibri"/>
        </w:rPr>
        <w:t>registerFiles</w:t>
      </w:r>
      <w:proofErr w:type="spellEnd"/>
      <w:r w:rsidRPr="00594B9C"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register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>field).</w:t>
      </w:r>
    </w:p>
    <w:p w14:paraId="196F091D" w14:textId="61F8169B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 xml:space="preserve">To define unique paths for a set of active modes,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values need to be unique with the scope of 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 xml:space="preserve">, </w:t>
      </w:r>
      <w:proofErr w:type="spellStart"/>
      <w:r w:rsidRPr="00594B9C">
        <w:rPr>
          <w:rFonts w:ascii="Calibri" w:hAnsi="Calibri" w:cs="Calibri"/>
        </w:rPr>
        <w:t>fieldAccessPolicies</w:t>
      </w:r>
      <w:proofErr w:type="spellEnd"/>
      <w:r w:rsidRPr="00594B9C">
        <w:rPr>
          <w:rFonts w:ascii="Calibri" w:hAnsi="Calibri" w:cs="Calibri"/>
        </w:rPr>
        <w:t xml:space="preserve">, and </w:t>
      </w:r>
      <w:proofErr w:type="spellStart"/>
      <w:r w:rsidRPr="00594B9C">
        <w:rPr>
          <w:rFonts w:ascii="Calibri" w:hAnsi="Calibri" w:cs="Calibri"/>
        </w:rPr>
        <w:t>accessRestrictions</w:t>
      </w:r>
      <w:proofErr w:type="spellEnd"/>
      <w:r w:rsidRPr="00594B9C">
        <w:rPr>
          <w:rFonts w:ascii="Calibri" w:hAnsi="Calibri" w:cs="Calibri"/>
        </w:rPr>
        <w:t xml:space="preserve"> elements. In the current schema, the scope is </w:t>
      </w:r>
      <w:proofErr w:type="spellStart"/>
      <w:r w:rsidRPr="00594B9C">
        <w:rPr>
          <w:rFonts w:ascii="Calibri" w:hAnsi="Calibri" w:cs="Calibri"/>
        </w:rPr>
        <w:t>accessPolicy</w:t>
      </w:r>
      <w:proofErr w:type="spellEnd"/>
      <w:r w:rsidRPr="00594B9C">
        <w:rPr>
          <w:rFonts w:ascii="Calibri" w:hAnsi="Calibri" w:cs="Calibri"/>
        </w:rPr>
        <w:t xml:space="preserve">, </w:t>
      </w:r>
      <w:proofErr w:type="spellStart"/>
      <w:r w:rsidRPr="00594B9C">
        <w:rPr>
          <w:rFonts w:ascii="Calibri" w:hAnsi="Calibri" w:cs="Calibri"/>
        </w:rPr>
        <w:t>fieldAccessPolicy</w:t>
      </w:r>
      <w:proofErr w:type="spellEnd"/>
      <w:r w:rsidRPr="00594B9C">
        <w:rPr>
          <w:rFonts w:ascii="Calibri" w:hAnsi="Calibri" w:cs="Calibri"/>
        </w:rPr>
        <w:t xml:space="preserve">, and </w:t>
      </w:r>
      <w:proofErr w:type="spellStart"/>
      <w:r w:rsidRPr="00594B9C">
        <w:rPr>
          <w:rFonts w:ascii="Calibri" w:hAnsi="Calibri" w:cs="Calibri"/>
        </w:rPr>
        <w:t>accessRestriction</w:t>
      </w:r>
      <w:proofErr w:type="spellEnd"/>
      <w:r w:rsidRPr="00594B9C">
        <w:rPr>
          <w:rFonts w:ascii="Calibri" w:hAnsi="Calibri" w:cs="Calibri"/>
        </w:rPr>
        <w:t>.</w:t>
      </w:r>
      <w:r w:rsidR="00240D2E">
        <w:rPr>
          <w:rFonts w:ascii="Calibri" w:hAnsi="Calibri" w:cs="Calibri"/>
        </w:rPr>
        <w:br/>
      </w:r>
    </w:p>
    <w:p w14:paraId="567B2FFC" w14:textId="40D277D5" w:rsidR="00594B9C" w:rsidRPr="00594B9C" w:rsidRDefault="00831AA0" w:rsidP="00594B9C">
      <w:pPr>
        <w:pStyle w:val="NoSpacing"/>
        <w:ind w:left="1440"/>
        <w:rPr>
          <w:rFonts w:ascii="Calibri" w:hAnsi="Calibri" w:cs="Calibri"/>
        </w:rPr>
      </w:pPr>
      <w:r w:rsidRPr="00831AA0">
        <w:rPr>
          <w:rFonts w:ascii="Calibri" w:hAnsi="Calibri" w:cs="Calibri"/>
          <w:b/>
          <w:bCs/>
        </w:rPr>
        <w:t xml:space="preserve">Interpretation </w:t>
      </w:r>
      <w:r w:rsidR="00594B9C" w:rsidRPr="00831AA0">
        <w:rPr>
          <w:rFonts w:ascii="Calibri" w:hAnsi="Calibri" w:cs="Calibri"/>
          <w:b/>
          <w:bCs/>
        </w:rPr>
        <w:t>2.</w:t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>A register transaction can “see” only 1 mode in the path towards the registers (</w:t>
      </w:r>
      <w:proofErr w:type="spellStart"/>
      <w:r w:rsidR="00594B9C" w:rsidRPr="00594B9C">
        <w:rPr>
          <w:rFonts w:ascii="Calibri" w:hAnsi="Calibri" w:cs="Calibri"/>
        </w:rPr>
        <w:t>addressBlock</w:t>
      </w:r>
      <w:proofErr w:type="spellEnd"/>
      <w:r w:rsidR="00594B9C" w:rsidRP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sym w:font="Wingdings" w:char="F0E0"/>
      </w:r>
      <w:r w:rsidR="00594B9C" w:rsidRPr="00594B9C">
        <w:rPr>
          <w:rFonts w:ascii="Calibri" w:hAnsi="Calibri" w:cs="Calibri"/>
        </w:rPr>
        <w:t xml:space="preserve"> </w:t>
      </w:r>
      <w:proofErr w:type="spellStart"/>
      <w:r w:rsidR="00594B9C" w:rsidRPr="00594B9C">
        <w:rPr>
          <w:rFonts w:ascii="Calibri" w:hAnsi="Calibri" w:cs="Calibri"/>
        </w:rPr>
        <w:t>registerFiles</w:t>
      </w:r>
      <w:proofErr w:type="spellEnd"/>
      <w:r w:rsidR="00594B9C" w:rsidRP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sym w:font="Wingdings" w:char="F0E0"/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 xml:space="preserve">register </w:t>
      </w:r>
      <w:r w:rsidR="00594B9C" w:rsidRPr="00594B9C">
        <w:rPr>
          <w:rFonts w:ascii="Calibri" w:hAnsi="Calibri" w:cs="Calibri"/>
        </w:rPr>
        <w:sym w:font="Wingdings" w:char="F0E0"/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 xml:space="preserve">field). Note that the “single” mode concept does not apply to </w:t>
      </w:r>
      <w:proofErr w:type="spellStart"/>
      <w:r w:rsidR="00594B9C" w:rsidRPr="00594B9C">
        <w:rPr>
          <w:rFonts w:ascii="Calibri" w:hAnsi="Calibri" w:cs="Calibri"/>
        </w:rPr>
        <w:t>memoryRemap</w:t>
      </w:r>
      <w:proofErr w:type="spellEnd"/>
      <w:r w:rsidR="00594B9C" w:rsidRPr="00594B9C">
        <w:rPr>
          <w:rFonts w:ascii="Calibri" w:hAnsi="Calibri" w:cs="Calibri"/>
        </w:rPr>
        <w:t xml:space="preserve">, </w:t>
      </w:r>
      <w:proofErr w:type="spellStart"/>
      <w:r w:rsidR="00594B9C" w:rsidRPr="00594B9C">
        <w:rPr>
          <w:rFonts w:ascii="Calibri" w:hAnsi="Calibri" w:cs="Calibri"/>
        </w:rPr>
        <w:t>alternateRegister</w:t>
      </w:r>
      <w:proofErr w:type="spellEnd"/>
      <w:r w:rsidR="00594B9C" w:rsidRPr="00594B9C">
        <w:rPr>
          <w:rFonts w:ascii="Calibri" w:hAnsi="Calibri" w:cs="Calibri"/>
        </w:rPr>
        <w:t xml:space="preserve">, and </w:t>
      </w:r>
      <w:proofErr w:type="spellStart"/>
      <w:r w:rsidR="00594B9C" w:rsidRPr="00594B9C">
        <w:rPr>
          <w:rFonts w:ascii="Calibri" w:hAnsi="Calibri" w:cs="Calibri"/>
        </w:rPr>
        <w:t>remapAddress</w:t>
      </w:r>
      <w:proofErr w:type="spellEnd"/>
      <w:r w:rsidR="00594B9C" w:rsidRPr="00594B9C">
        <w:rPr>
          <w:rFonts w:ascii="Calibri" w:hAnsi="Calibri" w:cs="Calibri"/>
        </w:rPr>
        <w:t xml:space="preserve"> modes. Implications of that are:</w:t>
      </w:r>
    </w:p>
    <w:p w14:paraId="4EECAE36" w14:textId="3589B894" w:rsidR="00594B9C" w:rsidRP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Existing</w:t>
      </w:r>
      <w:r w:rsidRPr="00594B9C">
        <w:rPr>
          <w:rFonts w:ascii="Calibri" w:hAnsi="Calibri" w:cs="Calibri"/>
        </w:rPr>
        <w:t xml:space="preserve"> SCRs need to be kept.</w:t>
      </w:r>
    </w:p>
    <w:p w14:paraId="68E43B63" w14:textId="717DD805" w:rsidR="00594B9C" w:rsidRP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 xml:space="preserve">A field access value is described by the </w:t>
      </w:r>
      <w:proofErr w:type="spellStart"/>
      <w:r w:rsidRPr="00594B9C">
        <w:rPr>
          <w:rFonts w:ascii="Calibri" w:hAnsi="Calibri" w:cs="Calibri"/>
        </w:rPr>
        <w:t>fieldAccessPolicy</w:t>
      </w:r>
      <w:proofErr w:type="spellEnd"/>
      <w:r w:rsidRPr="00594B9C">
        <w:rPr>
          <w:rFonts w:ascii="Calibri" w:hAnsi="Calibri" w:cs="Calibri"/>
        </w:rPr>
        <w:t>/access element value.</w:t>
      </w:r>
    </w:p>
    <w:p w14:paraId="5DDA21A3" w14:textId="6917CDDA" w:rsid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lastRenderedPageBreak/>
        <w:t xml:space="preserve">To define unique paths for a set of active modes,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values need to be unique within the scope of 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 xml:space="preserve">. In the current schema, the scope is 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accessPolicy</w:t>
      </w:r>
      <w:proofErr w:type="spellEnd"/>
      <w:r w:rsidRPr="00594B9C">
        <w:rPr>
          <w:rFonts w:ascii="Calibri" w:hAnsi="Calibri" w:cs="Calibri"/>
        </w:rPr>
        <w:t xml:space="preserve">.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attribute in </w:t>
      </w:r>
      <w:proofErr w:type="spellStart"/>
      <w:r w:rsidRPr="00594B9C">
        <w:rPr>
          <w:rFonts w:ascii="Calibri" w:hAnsi="Calibri" w:cs="Calibri"/>
        </w:rPr>
        <w:t>registerFile</w:t>
      </w:r>
      <w:proofErr w:type="spellEnd"/>
      <w:r w:rsidRPr="00594B9C">
        <w:rPr>
          <w:rFonts w:ascii="Calibri" w:hAnsi="Calibri" w:cs="Calibri"/>
        </w:rPr>
        <w:t xml:space="preserve">, register, field, and </w:t>
      </w:r>
      <w:proofErr w:type="spellStart"/>
      <w:r w:rsidRPr="00594B9C">
        <w:rPr>
          <w:rFonts w:ascii="Calibri" w:hAnsi="Calibri" w:cs="Calibri"/>
        </w:rPr>
        <w:t>accessRestriction</w:t>
      </w:r>
      <w:proofErr w:type="spellEnd"/>
      <w:r w:rsidRPr="00594B9C">
        <w:rPr>
          <w:rFonts w:ascii="Calibri" w:hAnsi="Calibri" w:cs="Calibri"/>
        </w:rPr>
        <w:t xml:space="preserve"> can be removed or it should be made clear what they mean. For now, it is assumed that they are removed.</w:t>
      </w:r>
      <w:r w:rsidR="00F91A22">
        <w:rPr>
          <w:rFonts w:ascii="Calibri" w:hAnsi="Calibri" w:cs="Calibri"/>
        </w:rPr>
        <w:br/>
      </w:r>
    </w:p>
    <w:p w14:paraId="51410587" w14:textId="3BD10FAE" w:rsidR="00F76D49" w:rsidRPr="00F76D49" w:rsidRDefault="00F76D49" w:rsidP="00F76D49">
      <w:pPr>
        <w:pStyle w:val="NoSpacing"/>
        <w:numPr>
          <w:ilvl w:val="1"/>
          <w:numId w:val="26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Due to time constraints the following discussion</w:t>
      </w:r>
      <w:r w:rsidR="000C5FCD">
        <w:rPr>
          <w:rFonts w:ascii="Calibri" w:hAnsi="Calibri" w:cs="Calibri"/>
          <w:color w:val="808080" w:themeColor="background1" w:themeShade="80"/>
        </w:rPr>
        <w:t>s are</w:t>
      </w:r>
      <w:r>
        <w:rPr>
          <w:rFonts w:ascii="Calibri" w:hAnsi="Calibri" w:cs="Calibri"/>
          <w:color w:val="808080" w:themeColor="background1" w:themeShade="80"/>
        </w:rPr>
        <w:t xml:space="preserve"> deferred.</w:t>
      </w:r>
    </w:p>
    <w:p w14:paraId="2E274E1C" w14:textId="29546A2B" w:rsidR="00F12EB6" w:rsidRDefault="002678D2" w:rsidP="00F12EB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0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56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6.13.1.2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memoryRemap.modeRef</w:t>
      </w:r>
      <w:proofErr w:type="spellEnd"/>
    </w:p>
    <w:p w14:paraId="1FA91E46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1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57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6.14.4.2.c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alternateRegister.modeRef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is unclear</w:t>
      </w:r>
    </w:p>
    <w:p w14:paraId="35FB2A17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2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59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C.2.2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accessPolicies</w:t>
      </w:r>
      <w:proofErr w:type="spellEnd"/>
    </w:p>
    <w:p w14:paraId="57AD0DC9" w14:textId="77777777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3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82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mode in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remapAddress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is not consistent with global mode management</w:t>
      </w:r>
    </w:p>
    <w:p w14:paraId="4A97F190" w14:textId="04EB7325" w:rsid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4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84</w:t>
        </w:r>
      </w:hyperlink>
      <w:r w:rsidR="00F91A22">
        <w:rPr>
          <w:rFonts w:ascii="Helvetica" w:hAnsi="Helvetica" w:cs="Helvetica"/>
          <w:color w:val="323232"/>
          <w:sz w:val="20"/>
          <w:szCs w:val="20"/>
        </w:rPr>
        <w:t xml:space="preserve"> a priority attribute could be added to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fieldMap</w:t>
      </w:r>
      <w:proofErr w:type="spellEnd"/>
      <w:r w:rsidR="00F91A22"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 w:rsidR="00F91A22">
        <w:rPr>
          <w:rFonts w:ascii="Helvetica" w:hAnsi="Helvetica" w:cs="Helvetica"/>
          <w:color w:val="323232"/>
          <w:sz w:val="20"/>
          <w:szCs w:val="20"/>
        </w:rPr>
        <w:t>modeRef</w:t>
      </w:r>
      <w:proofErr w:type="spellEnd"/>
    </w:p>
    <w:p w14:paraId="5B5B9B9D" w14:textId="77777777" w:rsidR="00F91A22" w:rsidRPr="00594B9C" w:rsidRDefault="00F91A22" w:rsidP="00F91A22">
      <w:pPr>
        <w:pStyle w:val="NoSpacing"/>
        <w:rPr>
          <w:rFonts w:ascii="Calibri" w:hAnsi="Calibri" w:cs="Calibri"/>
        </w:rPr>
      </w:pPr>
    </w:p>
    <w:p w14:paraId="0B1C9FE5" w14:textId="77777777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25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26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</w:p>
    <w:p w14:paraId="0F34EA99" w14:textId="0E2002F1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 xml:space="preserve"> No unit attributes in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singleShotDriver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. </w:t>
      </w:r>
    </w:p>
    <w:p w14:paraId="7C18ADB2" w14:textId="5B89FA04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 Namespace in attribute resolve</w:t>
      </w:r>
    </w:p>
    <w:p w14:paraId="13CE6321" w14:textId="4CBAAF66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A field with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fieldDefinitionRef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cannot be an alias</w:t>
      </w:r>
    </w:p>
    <w:p w14:paraId="6FBD9FAF" w14:textId="5DED6179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0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Netlisting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rules </w:t>
      </w:r>
    </w:p>
    <w:p w14:paraId="23D50AAF" w14:textId="69747540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01A0AE15" w14:textId="33C3008D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86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SCR 7.24 and 7.25 need examples </w:t>
      </w:r>
    </w:p>
    <w:p w14:paraId="4118B88E" w14:textId="03273A4E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is useless in type definitions</w:t>
      </w:r>
    </w:p>
    <w:p w14:paraId="14DC1675" w14:textId="70CF1187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addressing equation (13)</w:t>
      </w:r>
    </w:p>
    <w:p w14:paraId="5A564717" w14:textId="61D13911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New SCR to check consistency of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accessHandle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slices size</w:t>
      </w:r>
    </w:p>
    <w:p w14:paraId="3AF22D39" w14:textId="77AEF5FE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SCR 7.13 clarification (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registerDefinitionGroup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/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alternateDefinitionGroup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)</w:t>
      </w:r>
    </w:p>
    <w:p w14:paraId="734892DF" w14:textId="622ADBBF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423766AE" w14:textId="0958E404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StructPortTypeDef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: incorrect reference</w:t>
      </w:r>
    </w:p>
    <w:p w14:paraId="626AE9D1" w14:textId="42E52B8F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100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Typo: Missing Port Driver in elements for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viewRef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C.28</w:t>
      </w:r>
    </w:p>
    <w:p w14:paraId="3A98D124" w14:textId="0567FF21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0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Useless description for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subPort</w:t>
      </w:r>
      <w:proofErr w:type="spellEnd"/>
    </w:p>
    <w:p w14:paraId="139C203B" w14:textId="0B7E5183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Why last subport in port reference is a </w:t>
      </w:r>
      <w:proofErr w:type="gram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wire ?</w:t>
      </w:r>
      <w:proofErr w:type="gramEnd"/>
    </w:p>
    <w:p w14:paraId="678D3C37" w14:textId="0BD5168B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Structured port reference</w:t>
      </w:r>
    </w:p>
    <w:p w14:paraId="304C0072" w14:textId="45C34C74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alternateRegister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in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accessPolicy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description</w:t>
      </w:r>
    </w:p>
    <w:p w14:paraId="6EB9CF8E" w14:textId="77777777" w:rsidR="00240D2E" w:rsidRPr="00F91A22" w:rsidRDefault="002678D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Cleanup TGI calls accessing References --- OPEN</w:t>
      </w:r>
    </w:p>
    <w:p w14:paraId="35569763" w14:textId="769B349D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327A6E7" w:rsidR="008E057B" w:rsidRPr="005E5102" w:rsidRDefault="005E5102" w:rsidP="005E5102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D401BB4" w14:textId="64A2C45E" w:rsidR="00643B80" w:rsidRDefault="00831AA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Jan. 6</w:t>
      </w:r>
      <w:r w:rsidR="006B2ABD">
        <w:rPr>
          <w:rFonts w:ascii="Calibri" w:hAnsi="Calibri" w:cs="Calibri"/>
        </w:rPr>
        <w:t xml:space="preserve"> &amp; 20</w:t>
      </w:r>
      <w:r w:rsidR="00643B80">
        <w:rPr>
          <w:rFonts w:ascii="Calibri" w:hAnsi="Calibri" w:cs="Calibri"/>
        </w:rPr>
        <w:t>, 10:00-11:30 AM EST</w:t>
      </w:r>
    </w:p>
    <w:p w14:paraId="53543645" w14:textId="0E13A2F8" w:rsidR="006B2ABD" w:rsidRPr="000D6180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2696F805" w14:textId="77777777" w:rsidR="00F76D49" w:rsidRPr="00F76D49" w:rsidRDefault="00D851C0" w:rsidP="00F76D49">
      <w:pPr>
        <w:pStyle w:val="NoSpacing"/>
        <w:numPr>
          <w:ilvl w:val="0"/>
          <w:numId w:val="15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</w:rPr>
        <w:t>Second Roll Call</w:t>
      </w:r>
    </w:p>
    <w:p w14:paraId="05469077" w14:textId="687E031B" w:rsidR="00723F25" w:rsidRPr="00FC7F4F" w:rsidRDefault="00FD0102" w:rsidP="00FC7F4F">
      <w:pPr>
        <w:pStyle w:val="NoSpacing"/>
        <w:numPr>
          <w:ilvl w:val="0"/>
          <w:numId w:val="29"/>
        </w:numPr>
        <w:rPr>
          <w:rFonts w:ascii="Calibri" w:hAnsi="Calibri" w:cs="Calibri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Courtright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(AMD,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Edwin Dankert (ARM,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Gregoire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Avot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DRA)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lastRenderedPageBreak/>
        <w:t xml:space="preserve">Benoit 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Lafrage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DRA)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Vincent Thibaut(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DRA)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 w:rsidR="009A7E0C">
        <w:rPr>
          <w:rFonts w:asciiTheme="minorHAnsi" w:hAnsiTheme="minorHAnsi" w:cstheme="minorHAnsi"/>
          <w:i/>
          <w:color w:val="808080" w:themeColor="background1" w:themeShade="80"/>
          <w:lang w:val="fr-FR"/>
        </w:rPr>
        <w:t>l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oudwalk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Michael Velten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Richard Weber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DR) 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 w:rsidR="00FC7F4F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FC7F4F">
        <w:rPr>
          <w:rFonts w:ascii="Calibri" w:hAnsi="Calibri" w:cs="Calibri"/>
          <w:lang w:val="fr-FR"/>
        </w:rPr>
        <w:br/>
      </w:r>
    </w:p>
    <w:p w14:paraId="1059430E" w14:textId="2A63ED16" w:rsidR="00723F25" w:rsidRPr="003B4C9B" w:rsidRDefault="005279C4" w:rsidP="003B4C9B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2FC64D32" w14:textId="18802CDD" w:rsidR="00EF6A45" w:rsidRDefault="003B4C9B" w:rsidP="00EF6A45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Scott </w:t>
      </w:r>
      <w:proofErr w:type="gram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Vernier </w:t>
      </w:r>
      <w:r w:rsidR="00EF6A45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</w:t>
      </w:r>
      <w:proofErr w:type="gramEnd"/>
      <w:r w:rsidR="00EF6A45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to adjourn.</w:t>
      </w:r>
      <w:r w:rsidR="00EF6A45"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="00EF6A45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 w:rsidR="00EF6A4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11:3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</w:t>
      </w:r>
      <w:r w:rsidR="00EF6A45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 w:rsidR="00F76D49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</w:t>
      </w:r>
      <w:r w:rsidR="00EF6A45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6FC9E796" w14:textId="568B1CAA" w:rsidR="00EF6A45" w:rsidRPr="003B4C9B" w:rsidRDefault="00EF6A45" w:rsidP="003B4C9B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Richard Weber, WG Secretary.</w:t>
      </w:r>
    </w:p>
    <w:p w14:paraId="1422A67A" w14:textId="77777777" w:rsidR="00723F25" w:rsidRDefault="00723F25" w:rsidP="00723F25">
      <w:pPr>
        <w:pStyle w:val="NoSpacing"/>
        <w:rPr>
          <w:rFonts w:ascii="Calibri" w:hAnsi="Calibri" w:cs="Calibri"/>
        </w:rPr>
      </w:pPr>
    </w:p>
    <w:sectPr w:rsidR="00723F25" w:rsidSect="00B43366">
      <w:headerReference w:type="default" r:id="rId45"/>
      <w:footerReference w:type="default" r:id="rId4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E3C1" w14:textId="77777777" w:rsidR="002678D2" w:rsidRDefault="002678D2" w:rsidP="002E6905">
      <w:r>
        <w:separator/>
      </w:r>
    </w:p>
  </w:endnote>
  <w:endnote w:type="continuationSeparator" w:id="0">
    <w:p w14:paraId="173917A1" w14:textId="77777777" w:rsidR="002678D2" w:rsidRDefault="002678D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CC6D" w14:textId="77777777" w:rsidR="002678D2" w:rsidRDefault="002678D2" w:rsidP="002E6905">
      <w:r>
        <w:separator/>
      </w:r>
    </w:p>
  </w:footnote>
  <w:footnote w:type="continuationSeparator" w:id="0">
    <w:p w14:paraId="0FD8643A" w14:textId="77777777" w:rsidR="002678D2" w:rsidRDefault="002678D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5530"/>
    <w:multiLevelType w:val="hybridMultilevel"/>
    <w:tmpl w:val="9B464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02601"/>
    <w:multiLevelType w:val="hybridMultilevel"/>
    <w:tmpl w:val="EDFA3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6"/>
  </w:num>
  <w:num w:numId="5">
    <w:abstractNumId w:val="0"/>
  </w:num>
  <w:num w:numId="6">
    <w:abstractNumId w:val="24"/>
  </w:num>
  <w:num w:numId="7">
    <w:abstractNumId w:val="2"/>
  </w:num>
  <w:num w:numId="8">
    <w:abstractNumId w:val="5"/>
  </w:num>
  <w:num w:numId="9">
    <w:abstractNumId w:val="25"/>
  </w:num>
  <w:num w:numId="10">
    <w:abstractNumId w:val="9"/>
  </w:num>
  <w:num w:numId="11">
    <w:abstractNumId w:val="21"/>
  </w:num>
  <w:num w:numId="12">
    <w:abstractNumId w:val="23"/>
  </w:num>
  <w:num w:numId="13">
    <w:abstractNumId w:val="7"/>
  </w:num>
  <w:num w:numId="14">
    <w:abstractNumId w:val="1"/>
  </w:num>
  <w:num w:numId="15">
    <w:abstractNumId w:val="4"/>
  </w:num>
  <w:num w:numId="16">
    <w:abstractNumId w:val="18"/>
  </w:num>
  <w:num w:numId="17">
    <w:abstractNumId w:val="20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10"/>
  </w:num>
  <w:num w:numId="23">
    <w:abstractNumId w:val="3"/>
  </w:num>
  <w:num w:numId="24">
    <w:abstractNumId w:val="17"/>
  </w:num>
  <w:num w:numId="25">
    <w:abstractNumId w:val="27"/>
  </w:num>
  <w:num w:numId="26">
    <w:abstractNumId w:val="6"/>
  </w:num>
  <w:num w:numId="27">
    <w:abstractNumId w:val="28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282B"/>
    <w:rsid w:val="00073C8D"/>
    <w:rsid w:val="00080A0D"/>
    <w:rsid w:val="000C4D05"/>
    <w:rsid w:val="000C5FCD"/>
    <w:rsid w:val="000C754A"/>
    <w:rsid w:val="000E7636"/>
    <w:rsid w:val="001069B1"/>
    <w:rsid w:val="00115FB5"/>
    <w:rsid w:val="001A3EC0"/>
    <w:rsid w:val="001B2020"/>
    <w:rsid w:val="001E1008"/>
    <w:rsid w:val="001F7281"/>
    <w:rsid w:val="001F7A45"/>
    <w:rsid w:val="002021A7"/>
    <w:rsid w:val="00240D2E"/>
    <w:rsid w:val="002678D2"/>
    <w:rsid w:val="00290C67"/>
    <w:rsid w:val="0029504B"/>
    <w:rsid w:val="002D6A35"/>
    <w:rsid w:val="002E6905"/>
    <w:rsid w:val="00333BC0"/>
    <w:rsid w:val="00382DB7"/>
    <w:rsid w:val="0038342F"/>
    <w:rsid w:val="003B4C9B"/>
    <w:rsid w:val="003E3AA4"/>
    <w:rsid w:val="00402B82"/>
    <w:rsid w:val="004071B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1DB2"/>
    <w:rsid w:val="00567809"/>
    <w:rsid w:val="005917C6"/>
    <w:rsid w:val="00594B9C"/>
    <w:rsid w:val="005A08D4"/>
    <w:rsid w:val="005D7528"/>
    <w:rsid w:val="005E5102"/>
    <w:rsid w:val="00604168"/>
    <w:rsid w:val="0063429E"/>
    <w:rsid w:val="00643B80"/>
    <w:rsid w:val="00643E65"/>
    <w:rsid w:val="00652EB7"/>
    <w:rsid w:val="00663656"/>
    <w:rsid w:val="00695E17"/>
    <w:rsid w:val="006B2ABD"/>
    <w:rsid w:val="006B386D"/>
    <w:rsid w:val="006D34D6"/>
    <w:rsid w:val="00704517"/>
    <w:rsid w:val="007232BE"/>
    <w:rsid w:val="00723F25"/>
    <w:rsid w:val="007671E2"/>
    <w:rsid w:val="007C7EB6"/>
    <w:rsid w:val="00820FA0"/>
    <w:rsid w:val="00826656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733E3"/>
    <w:rsid w:val="00973F58"/>
    <w:rsid w:val="009A6002"/>
    <w:rsid w:val="009A7E0C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A3235"/>
    <w:rsid w:val="00BF1A73"/>
    <w:rsid w:val="00C04F99"/>
    <w:rsid w:val="00C27386"/>
    <w:rsid w:val="00C32254"/>
    <w:rsid w:val="00C3714F"/>
    <w:rsid w:val="00C3780A"/>
    <w:rsid w:val="00C53690"/>
    <w:rsid w:val="00C56004"/>
    <w:rsid w:val="00C76190"/>
    <w:rsid w:val="00C81B07"/>
    <w:rsid w:val="00C9128A"/>
    <w:rsid w:val="00C92DC9"/>
    <w:rsid w:val="00C92DE3"/>
    <w:rsid w:val="00C93717"/>
    <w:rsid w:val="00CA5893"/>
    <w:rsid w:val="00CD0024"/>
    <w:rsid w:val="00CF0EE5"/>
    <w:rsid w:val="00CF31C3"/>
    <w:rsid w:val="00CF4D7D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4079"/>
    <w:rsid w:val="00EC52C8"/>
    <w:rsid w:val="00EC6EDC"/>
    <w:rsid w:val="00EE5CB1"/>
    <w:rsid w:val="00EF6A45"/>
    <w:rsid w:val="00F12EB6"/>
    <w:rsid w:val="00F17229"/>
    <w:rsid w:val="00F2168A"/>
    <w:rsid w:val="00F32988"/>
    <w:rsid w:val="00F76D49"/>
    <w:rsid w:val="00F83231"/>
    <w:rsid w:val="00F91A22"/>
    <w:rsid w:val="00FA018C"/>
    <w:rsid w:val="00FA2C5A"/>
    <w:rsid w:val="00FB0A83"/>
    <w:rsid w:val="00FB7CFA"/>
    <w:rsid w:val="00FC068E"/>
    <w:rsid w:val="00FC7F4F"/>
    <w:rsid w:val="00FD0102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k3Nzk1XQ/WzIsODE0MzY3Mzld/" TargetMode="External"/><Relationship Id="rId18" Type="http://schemas.openxmlformats.org/officeDocument/2006/relationships/hyperlink" Target="https://ieee-sa.imeetcentral.com/p1685/doc/WzIsODEwMzE3Njld/w-Comment46IsIOPortReferenceIgnoreModport" TargetMode="External"/><Relationship Id="rId26" Type="http://schemas.openxmlformats.org/officeDocument/2006/relationships/hyperlink" Target="https://ieee-sa.imeetcentral.com/p1685/folder/WzIwLDEzNzk3Nzk1XQ/WzIsODEwMzM4NTdd/" TargetMode="External"/><Relationship Id="rId39" Type="http://schemas.openxmlformats.org/officeDocument/2006/relationships/hyperlink" Target="https://ieee-sa.imeetcentral.com/p1685/doc/WzIsODE1NDMwMDRd/w-Comment100TypoMissingPortDriverInElementsForViewRefC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wNDQ2MTJd/w-Comment5761442cAlternateRegistermodeRefIsUnclear" TargetMode="External"/><Relationship Id="rId34" Type="http://schemas.openxmlformats.org/officeDocument/2006/relationships/hyperlink" Target="https://ieee-sa.imeetcentral.com/p1685/doc/WzIsODE1MDAyNDBd/?&amp;pgref=" TargetMode="External"/><Relationship Id="rId42" Type="http://schemas.openxmlformats.org/officeDocument/2006/relationships/hyperlink" Target="https://ieee-sa.imeetcentral.com/p1685/doc/WzIsODE1NDY3MjZd/w-Comment103StructuredPortReferenc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wMzE0ODZd/w-Comment45VerilogToSystemVerilogConnection" TargetMode="External"/><Relationship Id="rId25" Type="http://schemas.openxmlformats.org/officeDocument/2006/relationships/hyperlink" Target="https://ieee-sa.imeetcentral.com/p1685/doc/WzIsNzc3NzA5MDFd/w-ReviewCommentsOnAccelleraIPXACTWGContribution" TargetMode="External"/><Relationship Id="rId33" Type="http://schemas.openxmlformats.org/officeDocument/2006/relationships/hyperlink" Target="https://ieee-sa.imeetcentral.com/p1685/doc/WzIsODE0OTI1NTNd/w-Comment89TypeIdentifierIsUselessInTypeDefinitions" TargetMode="External"/><Relationship Id="rId38" Type="http://schemas.openxmlformats.org/officeDocument/2006/relationships/hyperlink" Target="https://ieee-sa.imeetcentral.com/p1685/doc/WzIsODE1NDI5NjVd/w-Comment99StructPortTypeDefIncorrectReferenc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wMjYzNDVd/w-Comment40HierachicalSVInterfaceAndIsIO" TargetMode="External"/><Relationship Id="rId20" Type="http://schemas.openxmlformats.org/officeDocument/2006/relationships/hyperlink" Target="https://ieee-sa.imeetcentral.com/p1685/doc/WzIsODEwNDQ1OTJd/w-Comment5661312MemoryRemapmodeRef" TargetMode="External"/><Relationship Id="rId29" Type="http://schemas.openxmlformats.org/officeDocument/2006/relationships/hyperlink" Target="https://ieee-sa.imeetcentral.com/p1685/doc/WzIsODEzNzQ2Njdd/w-Comment64AFieldWithFieldDefinitionRefCannotBeAnAlias" TargetMode="External"/><Relationship Id="rId41" Type="http://schemas.openxmlformats.org/officeDocument/2006/relationships/hyperlink" Target="https://ieee-sa.imeetcentral.com/p1685/doc/WzIsODE1NDM1NTRd/w-Comment102WhyLastSubportInPortReferenceIsAW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0ODI1Mzhd/w-Comment84APriorityAttributeCouldBeAddedToFieldMapModeRef" TargetMode="External"/><Relationship Id="rId32" Type="http://schemas.openxmlformats.org/officeDocument/2006/relationships/hyperlink" Target="https://ieee-sa.imeetcentral.com/p1685/doc/WzIsODE0ODI3MDZd/w-Comment86SCR724And725NeedExamples" TargetMode="External"/><Relationship Id="rId37" Type="http://schemas.openxmlformats.org/officeDocument/2006/relationships/hyperlink" Target="https://ieee-sa.imeetcentral.com/p1685/doc/WzIsODE1MzE5MTFd/w-Comment98ReadResponseHasAmbiguousDescriptions" TargetMode="External"/><Relationship Id="rId40" Type="http://schemas.openxmlformats.org/officeDocument/2006/relationships/hyperlink" Target="https://ieee-sa.imeetcentral.com/p1685/doc/WzIsODE1NDMzMDVd/w-Comment101UselessDescriptionForSubPor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wMjU1OThd/w-Comment39PhysicalPortRestrictions" TargetMode="External"/><Relationship Id="rId23" Type="http://schemas.openxmlformats.org/officeDocument/2006/relationships/hyperlink" Target="https://ieee-sa.imeetcentral.com/p1685/doc/WzIsODE0NTA3MjJd/w-Comment82ModeInRemapAddressIsNotConsistentWithGlobalModeManagement" TargetMode="External"/><Relationship Id="rId28" Type="http://schemas.openxmlformats.org/officeDocument/2006/relationships/hyperlink" Target="https://ieee-sa.imeetcentral.com/p1685/doc/WzIsODEwNTY1MTFd/w-Comment62NamespaceInAttributeResolve" TargetMode="External"/><Relationship Id="rId36" Type="http://schemas.openxmlformats.org/officeDocument/2006/relationships/hyperlink" Target="https://ieee-sa.imeetcentral.com/p1685/doc/WzIsODE1MDE3NzVd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wMzU0ODFd/w-Comment47ConsecutiveBitsSelectionAndArrayOfSvInterface" TargetMode="External"/><Relationship Id="rId31" Type="http://schemas.openxmlformats.org/officeDocument/2006/relationships/hyperlink" Target="https://ieee-sa.imeetcentral.com/p1685/doc/WzIsODE0MTk1MDZd/w-Comment67UpdateTGIToSupportDefaultValues" TargetMode="External"/><Relationship Id="rId44" Type="http://schemas.openxmlformats.org/officeDocument/2006/relationships/hyperlink" Target="https://ieee-sa.imeetcentral.com/p1685/doc/WzIsODE1NjI1NThd/w-Comment105CleanupTGICallsAccessing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0NjkzODhd/" TargetMode="External"/><Relationship Id="rId14" Type="http://schemas.openxmlformats.org/officeDocument/2006/relationships/hyperlink" Target="https://ieee-sa.imeetcentral.com/p1685/doc/WzIsODEwMzkyNTZd/w-Comment50DefaultValueForPort" TargetMode="External"/><Relationship Id="rId22" Type="http://schemas.openxmlformats.org/officeDocument/2006/relationships/hyperlink" Target="https://ieee-sa.imeetcentral.com/p1685/doc/WzIsODEwNDQ2MzVd/w-Comment59C22AccessPolicies" TargetMode="External"/><Relationship Id="rId27" Type="http://schemas.openxmlformats.org/officeDocument/2006/relationships/hyperlink" Target="https://ieee-sa.imeetcentral.com/p1685/doc/WzIsODEwNDQ4MTVd/w-Comment61NoUnitAttributesInSingleShotDriver" TargetMode="External"/><Relationship Id="rId30" Type="http://schemas.openxmlformats.org/officeDocument/2006/relationships/hyperlink" Target="https://ieee-sa.imeetcentral.com/p1685/doc/WzIsODEzNzQ4Njld/w-Comment65NetlistingRules" TargetMode="External"/><Relationship Id="rId35" Type="http://schemas.openxmlformats.org/officeDocument/2006/relationships/hyperlink" Target="https://ieee-sa.imeetcentral.com/p1685/doc/WzIsODE1MDUyNzFd/w-Comment93NewSCRToCheckConsistencyOfAccessHandleSlicesSize" TargetMode="External"/><Relationship Id="rId43" Type="http://schemas.openxmlformats.org/officeDocument/2006/relationships/hyperlink" Target="https://ieee-sa.imeetcentral.com/p1685/doc/WzIsODE1NTIzMDhd/w-Comment104AlternateRegisterInAccessPolicyDescrip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468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Support</cp:lastModifiedBy>
  <cp:revision>45</cp:revision>
  <cp:lastPrinted>2019-10-01T14:16:00Z</cp:lastPrinted>
  <dcterms:created xsi:type="dcterms:W3CDTF">2020-02-04T18:16:00Z</dcterms:created>
  <dcterms:modified xsi:type="dcterms:W3CDTF">2021-12-10T17:14:00Z</dcterms:modified>
</cp:coreProperties>
</file>