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619E3" w14:textId="3577DC06" w:rsidR="00833898" w:rsidRPr="00833898" w:rsidRDefault="00833898" w:rsidP="00833898">
      <w:pPr>
        <w:rPr>
          <w:rFonts w:ascii="Times New Roman" w:hAnsi="Times New Roman" w:cs="Times New Roman"/>
          <w:b/>
          <w:bCs/>
          <w:sz w:val="32"/>
          <w:szCs w:val="36"/>
        </w:rPr>
      </w:pPr>
      <w:r w:rsidRPr="00833898">
        <w:rPr>
          <w:rFonts w:ascii="Times New Roman" w:hAnsi="Times New Roman" w:cs="Times New Roman"/>
          <w:b/>
          <w:bCs/>
          <w:sz w:val="32"/>
          <w:szCs w:val="36"/>
        </w:rPr>
        <w:t xml:space="preserve">IEEE P2938 draft </w:t>
      </w:r>
      <w:r w:rsidR="007C493A" w:rsidRPr="00566B60">
        <w:rPr>
          <w:rFonts w:ascii="Times New Roman" w:hAnsi="Times New Roman" w:cs="Times New Roman"/>
          <w:b/>
          <w:bCs/>
          <w:color w:val="FF0000"/>
          <w:sz w:val="32"/>
          <w:szCs w:val="36"/>
        </w:rPr>
        <w:t>2</w:t>
      </w:r>
      <w:r w:rsidRPr="00566B60">
        <w:rPr>
          <w:rFonts w:ascii="Times New Roman" w:hAnsi="Times New Roman" w:cs="Times New Roman"/>
          <w:b/>
          <w:bCs/>
          <w:color w:val="FF0000"/>
          <w:sz w:val="32"/>
          <w:szCs w:val="36"/>
        </w:rPr>
        <w:t>.0</w:t>
      </w:r>
      <w:r w:rsidRPr="00833898">
        <w:rPr>
          <w:rFonts w:ascii="Times New Roman" w:hAnsi="Times New Roman" w:cs="Times New Roman"/>
          <w:b/>
          <w:bCs/>
          <w:sz w:val="32"/>
          <w:szCs w:val="36"/>
        </w:rPr>
        <w:t xml:space="preserve"> to </w:t>
      </w:r>
      <w:r w:rsidRPr="00566B60">
        <w:rPr>
          <w:rFonts w:ascii="Times New Roman" w:hAnsi="Times New Roman" w:cs="Times New Roman"/>
          <w:b/>
          <w:bCs/>
          <w:color w:val="FF0000"/>
          <w:sz w:val="32"/>
          <w:szCs w:val="36"/>
        </w:rPr>
        <w:t>2.</w:t>
      </w:r>
      <w:r w:rsidR="007C493A" w:rsidRPr="00566B60">
        <w:rPr>
          <w:rFonts w:ascii="Times New Roman" w:hAnsi="Times New Roman" w:cs="Times New Roman"/>
          <w:b/>
          <w:bCs/>
          <w:color w:val="FF0000"/>
          <w:sz w:val="32"/>
          <w:szCs w:val="36"/>
        </w:rPr>
        <w:t>5</w:t>
      </w:r>
      <w:r w:rsidRPr="00833898">
        <w:rPr>
          <w:rFonts w:ascii="Times New Roman" w:hAnsi="Times New Roman" w:cs="Times New Roman"/>
          <w:b/>
          <w:bCs/>
          <w:sz w:val="32"/>
          <w:szCs w:val="36"/>
        </w:rPr>
        <w:t xml:space="preserve"> Main revision contents </w:t>
      </w:r>
    </w:p>
    <w:p w14:paraId="3B12E4E7" w14:textId="77777777" w:rsidR="00712BDD" w:rsidRDefault="00712BDD" w:rsidP="00712BDD">
      <w:pPr>
        <w:pStyle w:val="a3"/>
        <w:ind w:left="360" w:firstLineChars="0" w:firstLine="0"/>
        <w:rPr>
          <w:rFonts w:ascii="Times New Roman" w:hAnsi="Times New Roman" w:cs="Times New Roman"/>
        </w:rPr>
      </w:pPr>
    </w:p>
    <w:p w14:paraId="4185CF6A" w14:textId="159471D3" w:rsidR="00DE3444" w:rsidRPr="00E37829" w:rsidRDefault="00264544" w:rsidP="006F7C83">
      <w:pPr>
        <w:rPr>
          <w:rFonts w:ascii="Times New Roman" w:hAnsi="Times New Roman" w:cs="Times New Roman"/>
        </w:rPr>
      </w:pPr>
      <w:r>
        <w:rPr>
          <w:rFonts w:ascii="Times New Roman" w:hAnsi="Times New Roman" w:cs="Times New Roman"/>
          <w:b/>
          <w:bCs/>
        </w:rPr>
        <w:t>1</w:t>
      </w:r>
      <w:r w:rsidR="00DE3444" w:rsidRPr="00E37829">
        <w:rPr>
          <w:rFonts w:ascii="Times New Roman" w:hAnsi="Times New Roman" w:cs="Times New Roman"/>
          <w:b/>
          <w:bCs/>
        </w:rPr>
        <w:t>.</w:t>
      </w:r>
      <w:r w:rsidR="00DE3444" w:rsidRPr="00E37829">
        <w:rPr>
          <w:rFonts w:ascii="Times New Roman" w:hAnsi="Times New Roman" w:cs="Times New Roman"/>
        </w:rPr>
        <w:t xml:space="preserve"> The titles revision. </w:t>
      </w:r>
    </w:p>
    <w:tbl>
      <w:tblPr>
        <w:tblStyle w:val="a4"/>
        <w:tblW w:w="5000" w:type="pct"/>
        <w:tblLook w:val="04A0" w:firstRow="1" w:lastRow="0" w:firstColumn="1" w:lastColumn="0" w:noHBand="0" w:noVBand="1"/>
      </w:tblPr>
      <w:tblGrid>
        <w:gridCol w:w="823"/>
        <w:gridCol w:w="3521"/>
        <w:gridCol w:w="3952"/>
      </w:tblGrid>
      <w:tr w:rsidR="00DE3444" w:rsidRPr="00E37829" w14:paraId="4925E0BF" w14:textId="77777777" w:rsidTr="00E37829">
        <w:trPr>
          <w:trHeight w:val="20"/>
        </w:trPr>
        <w:tc>
          <w:tcPr>
            <w:tcW w:w="487" w:type="pct"/>
            <w:vAlign w:val="center"/>
          </w:tcPr>
          <w:p w14:paraId="421FF5AE" w14:textId="23CCE17A" w:rsidR="00DE3444" w:rsidRPr="00E37829" w:rsidRDefault="00DE3444" w:rsidP="00E37829">
            <w:pPr>
              <w:jc w:val="center"/>
              <w:rPr>
                <w:rFonts w:ascii="Times New Roman" w:hAnsi="Times New Roman" w:cs="Times New Roman"/>
                <w:b/>
                <w:bCs/>
              </w:rPr>
            </w:pPr>
            <w:r w:rsidRPr="00E37829">
              <w:rPr>
                <w:rFonts w:ascii="Times New Roman" w:hAnsi="Times New Roman" w:cs="Times New Roman"/>
                <w:b/>
                <w:bCs/>
              </w:rPr>
              <w:t>Clause</w:t>
            </w:r>
          </w:p>
        </w:tc>
        <w:tc>
          <w:tcPr>
            <w:tcW w:w="2127" w:type="pct"/>
            <w:vAlign w:val="center"/>
          </w:tcPr>
          <w:p w14:paraId="5F20DFE3" w14:textId="45D9ECF9" w:rsidR="00DE3444" w:rsidRPr="00E37829" w:rsidRDefault="00DE3444" w:rsidP="00E37829">
            <w:pPr>
              <w:jc w:val="center"/>
              <w:rPr>
                <w:rFonts w:ascii="Times New Roman" w:hAnsi="Times New Roman" w:cs="Times New Roman"/>
                <w:b/>
                <w:bCs/>
              </w:rPr>
            </w:pPr>
            <w:r w:rsidRPr="00E37829">
              <w:rPr>
                <w:rFonts w:ascii="Times New Roman" w:hAnsi="Times New Roman" w:cs="Times New Roman"/>
                <w:b/>
                <w:bCs/>
              </w:rPr>
              <w:t>Original title</w:t>
            </w:r>
          </w:p>
        </w:tc>
        <w:tc>
          <w:tcPr>
            <w:tcW w:w="2386" w:type="pct"/>
            <w:vAlign w:val="center"/>
          </w:tcPr>
          <w:p w14:paraId="0B39F2D7" w14:textId="363F3198" w:rsidR="00DE3444" w:rsidRPr="00E37829" w:rsidRDefault="00DE3444" w:rsidP="00E37829">
            <w:pPr>
              <w:jc w:val="center"/>
              <w:rPr>
                <w:rFonts w:ascii="Times New Roman" w:hAnsi="Times New Roman" w:cs="Times New Roman"/>
                <w:b/>
                <w:bCs/>
              </w:rPr>
            </w:pPr>
            <w:r w:rsidRPr="00E37829">
              <w:rPr>
                <w:rFonts w:ascii="Times New Roman" w:hAnsi="Times New Roman" w:cs="Times New Roman"/>
                <w:b/>
                <w:bCs/>
              </w:rPr>
              <w:t>New title</w:t>
            </w:r>
          </w:p>
        </w:tc>
      </w:tr>
      <w:tr w:rsidR="00DE3444" w:rsidRPr="00E37829" w14:paraId="61E3FA52" w14:textId="77777777" w:rsidTr="00E37829">
        <w:trPr>
          <w:trHeight w:val="631"/>
        </w:trPr>
        <w:tc>
          <w:tcPr>
            <w:tcW w:w="487" w:type="pct"/>
            <w:vAlign w:val="center"/>
          </w:tcPr>
          <w:p w14:paraId="4D2BD388" w14:textId="3B538A83" w:rsidR="00DE3444" w:rsidRPr="00E37829" w:rsidRDefault="00DE3444" w:rsidP="00E37829">
            <w:pPr>
              <w:jc w:val="center"/>
              <w:rPr>
                <w:rFonts w:ascii="Times New Roman" w:hAnsi="Times New Roman" w:cs="Times New Roman"/>
              </w:rPr>
            </w:pPr>
            <w:r w:rsidRPr="00E37829">
              <w:rPr>
                <w:rFonts w:ascii="Times New Roman" w:hAnsi="Times New Roman" w:cs="Times New Roman"/>
              </w:rPr>
              <w:t>4</w:t>
            </w:r>
          </w:p>
        </w:tc>
        <w:tc>
          <w:tcPr>
            <w:tcW w:w="2127" w:type="pct"/>
            <w:vAlign w:val="center"/>
          </w:tcPr>
          <w:p w14:paraId="255EE193" w14:textId="37F08B3D" w:rsidR="00DE3444" w:rsidRPr="00E37829" w:rsidRDefault="00DE3444" w:rsidP="00E37829">
            <w:pPr>
              <w:jc w:val="center"/>
              <w:rPr>
                <w:rFonts w:ascii="Times New Roman" w:hAnsi="Times New Roman" w:cs="Times New Roman"/>
              </w:rPr>
            </w:pPr>
            <w:r w:rsidRPr="00E37829">
              <w:rPr>
                <w:rFonts w:ascii="Times New Roman" w:hAnsi="Times New Roman" w:cs="Times New Roman"/>
              </w:rPr>
              <w:t>Principles and process of economic loss evaluation</w:t>
            </w:r>
          </w:p>
        </w:tc>
        <w:tc>
          <w:tcPr>
            <w:tcW w:w="2386" w:type="pct"/>
            <w:vAlign w:val="center"/>
          </w:tcPr>
          <w:p w14:paraId="44007DB9" w14:textId="2692E3DA" w:rsidR="00DE3444" w:rsidRPr="00E37829" w:rsidRDefault="00DE3444" w:rsidP="00E37829">
            <w:pPr>
              <w:pStyle w:val="IEEEStdsLevel1Header"/>
              <w:numPr>
                <w:ilvl w:val="0"/>
                <w:numId w:val="0"/>
              </w:numPr>
              <w:jc w:val="center"/>
              <w:rPr>
                <w:rFonts w:ascii="Times New Roman" w:hAnsi="Times New Roman"/>
                <w:b w:val="0"/>
                <w:kern w:val="2"/>
                <w:sz w:val="21"/>
                <w:szCs w:val="22"/>
                <w:lang w:eastAsia="zh-CN"/>
              </w:rPr>
            </w:pPr>
            <w:r w:rsidRPr="00E37829">
              <w:rPr>
                <w:rFonts w:ascii="Times New Roman" w:hAnsi="Times New Roman"/>
                <w:b w:val="0"/>
                <w:kern w:val="2"/>
                <w:sz w:val="21"/>
                <w:szCs w:val="22"/>
                <w:lang w:eastAsia="zh-CN"/>
              </w:rPr>
              <w:t xml:space="preserve">Principles and process of economic loss evaluation </w:t>
            </w:r>
            <w:r w:rsidRPr="00E37829">
              <w:rPr>
                <w:rFonts w:ascii="Times New Roman" w:hAnsi="Times New Roman"/>
                <w:b w:val="0"/>
                <w:color w:val="FF0000"/>
                <w:kern w:val="2"/>
                <w:sz w:val="21"/>
                <w:szCs w:val="22"/>
                <w:lang w:eastAsia="zh-CN"/>
              </w:rPr>
              <w:t>for voltage sag management</w:t>
            </w:r>
          </w:p>
        </w:tc>
      </w:tr>
      <w:tr w:rsidR="00E37829" w:rsidRPr="00E37829" w14:paraId="0BFBDCD9" w14:textId="77777777" w:rsidTr="00E37829">
        <w:trPr>
          <w:trHeight w:val="20"/>
        </w:trPr>
        <w:tc>
          <w:tcPr>
            <w:tcW w:w="487" w:type="pct"/>
            <w:vAlign w:val="center"/>
          </w:tcPr>
          <w:p w14:paraId="04666C99" w14:textId="1591187D" w:rsidR="00E37829" w:rsidRPr="00E37829" w:rsidRDefault="00E37829" w:rsidP="00E37829">
            <w:pPr>
              <w:jc w:val="center"/>
              <w:rPr>
                <w:rFonts w:ascii="Times New Roman" w:hAnsi="Times New Roman" w:cs="Times New Roman"/>
              </w:rPr>
            </w:pPr>
            <w:r>
              <w:rPr>
                <w:rFonts w:ascii="Times New Roman" w:hAnsi="Times New Roman" w:cs="Times New Roman" w:hint="eastAsia"/>
              </w:rPr>
              <w:t>6</w:t>
            </w:r>
          </w:p>
        </w:tc>
        <w:tc>
          <w:tcPr>
            <w:tcW w:w="2127" w:type="pct"/>
            <w:vAlign w:val="center"/>
          </w:tcPr>
          <w:p w14:paraId="6860E526" w14:textId="6CC857B6" w:rsidR="00E37829" w:rsidRPr="00E37829" w:rsidRDefault="00E37829" w:rsidP="00E37829">
            <w:pPr>
              <w:pStyle w:val="IEEEStdsLevel1Header"/>
              <w:numPr>
                <w:ilvl w:val="0"/>
                <w:numId w:val="0"/>
              </w:numPr>
              <w:jc w:val="center"/>
              <w:rPr>
                <w:rFonts w:ascii="Times New Roman" w:hAnsi="Times New Roman"/>
                <w:b w:val="0"/>
                <w:kern w:val="2"/>
                <w:sz w:val="21"/>
                <w:szCs w:val="22"/>
                <w:lang w:eastAsia="zh-CN"/>
              </w:rPr>
            </w:pPr>
            <w:r w:rsidRPr="00E37829">
              <w:rPr>
                <w:rFonts w:ascii="Times New Roman" w:hAnsi="Times New Roman"/>
                <w:b w:val="0"/>
                <w:kern w:val="2"/>
                <w:sz w:val="21"/>
                <w:szCs w:val="22"/>
                <w:lang w:eastAsia="zh-CN"/>
              </w:rPr>
              <w:t>The items of costs of voltage sag management</w:t>
            </w:r>
          </w:p>
        </w:tc>
        <w:tc>
          <w:tcPr>
            <w:tcW w:w="2386" w:type="pct"/>
            <w:vAlign w:val="center"/>
          </w:tcPr>
          <w:p w14:paraId="6843CC27" w14:textId="34AE160F" w:rsidR="00E37829" w:rsidRPr="00E37829" w:rsidRDefault="00E37829" w:rsidP="00E37829">
            <w:pPr>
              <w:pStyle w:val="IEEEStdsLevel1Header"/>
              <w:numPr>
                <w:ilvl w:val="0"/>
                <w:numId w:val="0"/>
              </w:numPr>
              <w:jc w:val="center"/>
              <w:rPr>
                <w:rFonts w:ascii="Times New Roman" w:hAnsi="Times New Roman"/>
                <w:b w:val="0"/>
                <w:kern w:val="2"/>
                <w:sz w:val="21"/>
                <w:szCs w:val="22"/>
                <w:lang w:eastAsia="zh-CN"/>
              </w:rPr>
            </w:pPr>
            <w:bookmarkStart w:id="0" w:name="_Hlk71311913"/>
            <w:r w:rsidRPr="00E37829">
              <w:rPr>
                <w:rFonts w:ascii="Times New Roman" w:hAnsi="Times New Roman"/>
                <w:b w:val="0"/>
                <w:kern w:val="2"/>
                <w:sz w:val="21"/>
                <w:szCs w:val="22"/>
                <w:lang w:eastAsia="zh-CN"/>
              </w:rPr>
              <w:t>The items of costs for voltage sag management</w:t>
            </w:r>
            <w:r w:rsidRPr="00E37829">
              <w:rPr>
                <w:rFonts w:ascii="Times New Roman" w:hAnsi="Times New Roman"/>
                <w:b w:val="0"/>
                <w:color w:val="FF0000"/>
                <w:kern w:val="2"/>
                <w:sz w:val="21"/>
                <w:szCs w:val="22"/>
                <w:lang w:eastAsia="zh-CN"/>
              </w:rPr>
              <w:t xml:space="preserve"> of economic loss evaluation</w:t>
            </w:r>
            <w:bookmarkEnd w:id="0"/>
          </w:p>
        </w:tc>
      </w:tr>
      <w:tr w:rsidR="00DE3444" w:rsidRPr="00E37829" w14:paraId="31CC08E7" w14:textId="77777777" w:rsidTr="00E37829">
        <w:trPr>
          <w:trHeight w:val="20"/>
        </w:trPr>
        <w:tc>
          <w:tcPr>
            <w:tcW w:w="487" w:type="pct"/>
            <w:vAlign w:val="center"/>
          </w:tcPr>
          <w:p w14:paraId="48EF9190" w14:textId="0E3C0B6E" w:rsidR="00DE3444" w:rsidRPr="00E37829" w:rsidRDefault="00DE3444" w:rsidP="00E37829">
            <w:pPr>
              <w:jc w:val="center"/>
              <w:rPr>
                <w:rFonts w:ascii="Times New Roman" w:hAnsi="Times New Roman" w:cs="Times New Roman"/>
              </w:rPr>
            </w:pPr>
            <w:r w:rsidRPr="00E37829">
              <w:rPr>
                <w:rFonts w:ascii="Times New Roman" w:hAnsi="Times New Roman" w:cs="Times New Roman"/>
              </w:rPr>
              <w:t>7</w:t>
            </w:r>
          </w:p>
        </w:tc>
        <w:tc>
          <w:tcPr>
            <w:tcW w:w="2127" w:type="pct"/>
            <w:vAlign w:val="center"/>
          </w:tcPr>
          <w:p w14:paraId="29B01E4D" w14:textId="776E7C9E" w:rsidR="00DE3444" w:rsidRPr="00E37829" w:rsidRDefault="00DE3444" w:rsidP="00E37829">
            <w:pPr>
              <w:pStyle w:val="IEEEStdsLevel1Header"/>
              <w:numPr>
                <w:ilvl w:val="0"/>
                <w:numId w:val="0"/>
              </w:numPr>
              <w:jc w:val="center"/>
              <w:rPr>
                <w:rFonts w:ascii="Times New Roman" w:hAnsi="Times New Roman"/>
                <w:b w:val="0"/>
                <w:kern w:val="2"/>
                <w:sz w:val="21"/>
                <w:szCs w:val="22"/>
                <w:lang w:eastAsia="zh-CN"/>
              </w:rPr>
            </w:pPr>
            <w:r w:rsidRPr="00E37829">
              <w:rPr>
                <w:rFonts w:ascii="Times New Roman" w:hAnsi="Times New Roman"/>
                <w:b w:val="0"/>
                <w:kern w:val="2"/>
                <w:sz w:val="21"/>
                <w:szCs w:val="22"/>
                <w:lang w:eastAsia="zh-CN"/>
              </w:rPr>
              <w:t>The indexes of the cost and economic loss of voltage sag management</w:t>
            </w:r>
          </w:p>
        </w:tc>
        <w:tc>
          <w:tcPr>
            <w:tcW w:w="2386" w:type="pct"/>
            <w:vAlign w:val="center"/>
          </w:tcPr>
          <w:p w14:paraId="64873368" w14:textId="6C3BEFF8" w:rsidR="00DE3444" w:rsidRPr="00E37829" w:rsidRDefault="00DE3444" w:rsidP="00E37829">
            <w:pPr>
              <w:pStyle w:val="IEEEStdsLevel1Header"/>
              <w:numPr>
                <w:ilvl w:val="0"/>
                <w:numId w:val="0"/>
              </w:numPr>
              <w:jc w:val="center"/>
              <w:rPr>
                <w:rFonts w:ascii="Times New Roman" w:hAnsi="Times New Roman"/>
                <w:b w:val="0"/>
                <w:kern w:val="2"/>
                <w:sz w:val="21"/>
                <w:szCs w:val="22"/>
                <w:lang w:eastAsia="zh-CN"/>
              </w:rPr>
            </w:pPr>
            <w:r w:rsidRPr="00E37829">
              <w:rPr>
                <w:rFonts w:ascii="Times New Roman" w:hAnsi="Times New Roman"/>
                <w:b w:val="0"/>
                <w:kern w:val="2"/>
                <w:sz w:val="21"/>
                <w:szCs w:val="22"/>
                <w:lang w:eastAsia="zh-CN"/>
              </w:rPr>
              <w:t xml:space="preserve">The indexes of the cost and economic loss </w:t>
            </w:r>
            <w:r w:rsidRPr="00E37829">
              <w:rPr>
                <w:rFonts w:ascii="Times New Roman" w:hAnsi="Times New Roman"/>
                <w:b w:val="0"/>
                <w:color w:val="FF0000"/>
                <w:kern w:val="2"/>
                <w:sz w:val="21"/>
                <w:szCs w:val="22"/>
                <w:lang w:eastAsia="zh-CN"/>
              </w:rPr>
              <w:t xml:space="preserve">evaluation </w:t>
            </w:r>
            <w:r w:rsidRPr="00E37829">
              <w:rPr>
                <w:rFonts w:ascii="Times New Roman" w:hAnsi="Times New Roman"/>
                <w:b w:val="0"/>
                <w:kern w:val="2"/>
                <w:sz w:val="21"/>
                <w:szCs w:val="22"/>
                <w:lang w:eastAsia="zh-CN"/>
              </w:rPr>
              <w:t>of voltage sag management</w:t>
            </w:r>
          </w:p>
        </w:tc>
      </w:tr>
      <w:tr w:rsidR="00DE3444" w:rsidRPr="00E37829" w14:paraId="34C2C56A" w14:textId="77777777" w:rsidTr="00E37829">
        <w:trPr>
          <w:trHeight w:val="283"/>
        </w:trPr>
        <w:tc>
          <w:tcPr>
            <w:tcW w:w="487" w:type="pct"/>
            <w:vAlign w:val="center"/>
          </w:tcPr>
          <w:p w14:paraId="7B7E63E0" w14:textId="308F352E" w:rsidR="00DE3444" w:rsidRPr="00E37829" w:rsidRDefault="00DE3444" w:rsidP="00E37829">
            <w:pPr>
              <w:jc w:val="center"/>
              <w:rPr>
                <w:rFonts w:ascii="Times New Roman" w:hAnsi="Times New Roman" w:cs="Times New Roman"/>
              </w:rPr>
            </w:pPr>
            <w:r w:rsidRPr="00E37829">
              <w:rPr>
                <w:rFonts w:ascii="Times New Roman" w:hAnsi="Times New Roman" w:cs="Times New Roman"/>
              </w:rPr>
              <w:t>8</w:t>
            </w:r>
          </w:p>
        </w:tc>
        <w:tc>
          <w:tcPr>
            <w:tcW w:w="2127" w:type="pct"/>
            <w:vAlign w:val="center"/>
          </w:tcPr>
          <w:p w14:paraId="3ACA8009" w14:textId="64AF9F00" w:rsidR="00DE3444" w:rsidRPr="00E37829" w:rsidRDefault="00DE3444" w:rsidP="00E37829">
            <w:pPr>
              <w:pStyle w:val="IEEEStdsLevel1Header"/>
              <w:numPr>
                <w:ilvl w:val="0"/>
                <w:numId w:val="0"/>
              </w:numPr>
              <w:jc w:val="center"/>
              <w:rPr>
                <w:rFonts w:ascii="Times New Roman" w:hAnsi="Times New Roman"/>
                <w:b w:val="0"/>
                <w:kern w:val="2"/>
                <w:sz w:val="21"/>
                <w:szCs w:val="22"/>
                <w:lang w:eastAsia="zh-CN"/>
              </w:rPr>
            </w:pPr>
            <w:r w:rsidRPr="00E37829">
              <w:rPr>
                <w:rFonts w:ascii="Times New Roman" w:hAnsi="Times New Roman"/>
                <w:b w:val="0"/>
                <w:kern w:val="2"/>
                <w:sz w:val="21"/>
                <w:szCs w:val="22"/>
                <w:lang w:eastAsia="zh-CN"/>
              </w:rPr>
              <w:t>Cost-investment evaluation methods for voltage sag management</w:t>
            </w:r>
          </w:p>
        </w:tc>
        <w:tc>
          <w:tcPr>
            <w:tcW w:w="2386" w:type="pct"/>
            <w:vAlign w:val="center"/>
          </w:tcPr>
          <w:p w14:paraId="059EB642" w14:textId="5271EBC3" w:rsidR="00DE3444" w:rsidRPr="00E37829" w:rsidRDefault="00DE3444" w:rsidP="00E37829">
            <w:pPr>
              <w:pStyle w:val="IEEEStdsLevel1Header"/>
              <w:numPr>
                <w:ilvl w:val="0"/>
                <w:numId w:val="0"/>
              </w:numPr>
              <w:jc w:val="center"/>
              <w:rPr>
                <w:rFonts w:ascii="Times New Roman" w:hAnsi="Times New Roman"/>
                <w:b w:val="0"/>
                <w:kern w:val="2"/>
                <w:sz w:val="21"/>
                <w:szCs w:val="22"/>
                <w:lang w:eastAsia="zh-CN"/>
              </w:rPr>
            </w:pPr>
            <w:r w:rsidRPr="00E37829">
              <w:rPr>
                <w:rFonts w:ascii="Times New Roman" w:hAnsi="Times New Roman"/>
                <w:b w:val="0"/>
                <w:color w:val="FF0000"/>
                <w:kern w:val="2"/>
                <w:sz w:val="21"/>
                <w:szCs w:val="22"/>
                <w:lang w:eastAsia="zh-CN"/>
              </w:rPr>
              <w:t xml:space="preserve">Economy of </w:t>
            </w:r>
            <w:bookmarkStart w:id="1" w:name="_Hlk71311979"/>
            <w:r w:rsidRPr="00E37829">
              <w:rPr>
                <w:rFonts w:ascii="Times New Roman" w:hAnsi="Times New Roman"/>
                <w:b w:val="0"/>
                <w:kern w:val="2"/>
                <w:sz w:val="21"/>
                <w:szCs w:val="22"/>
                <w:lang w:eastAsia="zh-CN"/>
              </w:rPr>
              <w:t>cost-investment evaluation methods for voltage sag management</w:t>
            </w:r>
            <w:bookmarkEnd w:id="1"/>
          </w:p>
        </w:tc>
      </w:tr>
    </w:tbl>
    <w:p w14:paraId="7510D9FD" w14:textId="77777777" w:rsidR="003E7B21" w:rsidRDefault="003E7B21" w:rsidP="006F7C83"/>
    <w:p w14:paraId="52D4BB05" w14:textId="69BB2AD8" w:rsidR="00DE3444" w:rsidRPr="003E7B21" w:rsidRDefault="00264544" w:rsidP="006F7C83">
      <w:pPr>
        <w:rPr>
          <w:rFonts w:ascii="Times New Roman" w:hAnsi="Times New Roman" w:cs="Times New Roman"/>
          <w:b/>
          <w:bCs/>
        </w:rPr>
      </w:pPr>
      <w:r>
        <w:rPr>
          <w:rFonts w:ascii="Times New Roman" w:hAnsi="Times New Roman" w:cs="Times New Roman"/>
          <w:b/>
          <w:bCs/>
        </w:rPr>
        <w:t>2</w:t>
      </w:r>
      <w:r w:rsidR="00E37829" w:rsidRPr="003E7B21">
        <w:rPr>
          <w:rFonts w:ascii="Times New Roman" w:hAnsi="Times New Roman" w:cs="Times New Roman"/>
          <w:b/>
          <w:bCs/>
        </w:rPr>
        <w:t xml:space="preserve">. </w:t>
      </w:r>
      <w:r w:rsidR="00E37829" w:rsidRPr="003E7B21">
        <w:rPr>
          <w:rFonts w:ascii="Times New Roman" w:hAnsi="Times New Roman" w:cs="Times New Roman"/>
        </w:rPr>
        <w:t>New</w:t>
      </w:r>
      <w:r w:rsidR="003E7B21">
        <w:rPr>
          <w:rFonts w:ascii="Times New Roman" w:hAnsi="Times New Roman" w:cs="Times New Roman"/>
        </w:rPr>
        <w:t>ly added</w:t>
      </w:r>
      <w:r w:rsidR="00E37829" w:rsidRPr="003E7B21">
        <w:rPr>
          <w:rFonts w:ascii="Times New Roman" w:hAnsi="Times New Roman" w:cs="Times New Roman"/>
        </w:rPr>
        <w:t xml:space="preserve"> items</w:t>
      </w:r>
      <w:r w:rsidR="003E7B21" w:rsidRPr="003E7B21">
        <w:rPr>
          <w:rFonts w:ascii="Times New Roman" w:hAnsi="Times New Roman" w:cs="Times New Roman"/>
        </w:rPr>
        <w:t>.</w:t>
      </w:r>
    </w:p>
    <w:tbl>
      <w:tblPr>
        <w:tblStyle w:val="a4"/>
        <w:tblW w:w="5000" w:type="pct"/>
        <w:tblLook w:val="04A0" w:firstRow="1" w:lastRow="0" w:firstColumn="1" w:lastColumn="0" w:noHBand="0" w:noVBand="1"/>
      </w:tblPr>
      <w:tblGrid>
        <w:gridCol w:w="823"/>
        <w:gridCol w:w="3521"/>
        <w:gridCol w:w="3952"/>
      </w:tblGrid>
      <w:tr w:rsidR="003E7B21" w:rsidRPr="00E37829" w14:paraId="03A7602A" w14:textId="77777777" w:rsidTr="003E7B21">
        <w:trPr>
          <w:trHeight w:val="20"/>
        </w:trPr>
        <w:tc>
          <w:tcPr>
            <w:tcW w:w="496" w:type="pct"/>
            <w:vAlign w:val="center"/>
          </w:tcPr>
          <w:p w14:paraId="7BC186A3" w14:textId="77777777" w:rsidR="00E37829" w:rsidRPr="00E37829" w:rsidRDefault="00E37829" w:rsidP="00B924BC">
            <w:pPr>
              <w:jc w:val="center"/>
              <w:rPr>
                <w:rFonts w:ascii="Times New Roman" w:hAnsi="Times New Roman" w:cs="Times New Roman"/>
                <w:b/>
                <w:bCs/>
              </w:rPr>
            </w:pPr>
            <w:r w:rsidRPr="00E37829">
              <w:rPr>
                <w:rFonts w:ascii="Times New Roman" w:hAnsi="Times New Roman" w:cs="Times New Roman"/>
                <w:b/>
                <w:bCs/>
              </w:rPr>
              <w:t>Clause</w:t>
            </w:r>
          </w:p>
        </w:tc>
        <w:tc>
          <w:tcPr>
            <w:tcW w:w="2122" w:type="pct"/>
            <w:vAlign w:val="center"/>
          </w:tcPr>
          <w:p w14:paraId="4A5714F9" w14:textId="0C80F047" w:rsidR="00E37829" w:rsidRPr="00E37829" w:rsidRDefault="00E37829" w:rsidP="00B924BC">
            <w:pPr>
              <w:jc w:val="center"/>
              <w:rPr>
                <w:rFonts w:ascii="Times New Roman" w:hAnsi="Times New Roman" w:cs="Times New Roman"/>
                <w:b/>
                <w:bCs/>
              </w:rPr>
            </w:pPr>
            <w:r>
              <w:rPr>
                <w:rFonts w:ascii="Times New Roman" w:hAnsi="Times New Roman" w:cs="Times New Roman" w:hint="eastAsia"/>
                <w:b/>
                <w:bCs/>
              </w:rPr>
              <w:t>Name</w:t>
            </w:r>
            <w:r>
              <w:rPr>
                <w:rFonts w:ascii="Times New Roman" w:hAnsi="Times New Roman" w:cs="Times New Roman"/>
                <w:b/>
                <w:bCs/>
              </w:rPr>
              <w:t xml:space="preserve"> of new item</w:t>
            </w:r>
          </w:p>
        </w:tc>
        <w:tc>
          <w:tcPr>
            <w:tcW w:w="2382" w:type="pct"/>
            <w:vAlign w:val="center"/>
          </w:tcPr>
          <w:p w14:paraId="09CC74BE" w14:textId="28A4BA7C" w:rsidR="00E37829" w:rsidRPr="00E37829" w:rsidRDefault="003E7B21" w:rsidP="00B924BC">
            <w:pPr>
              <w:jc w:val="center"/>
              <w:rPr>
                <w:rFonts w:ascii="Times New Roman" w:hAnsi="Times New Roman" w:cs="Times New Roman"/>
                <w:b/>
                <w:bCs/>
              </w:rPr>
            </w:pPr>
            <w:r>
              <w:rPr>
                <w:rFonts w:ascii="Times New Roman" w:hAnsi="Times New Roman" w:cs="Times New Roman"/>
                <w:b/>
                <w:bCs/>
              </w:rPr>
              <w:t>I</w:t>
            </w:r>
            <w:r w:rsidRPr="003E7B21">
              <w:rPr>
                <w:rFonts w:ascii="Times New Roman" w:hAnsi="Times New Roman" w:cs="Times New Roman"/>
                <w:b/>
                <w:bCs/>
              </w:rPr>
              <w:t>nterpretation</w:t>
            </w:r>
          </w:p>
        </w:tc>
      </w:tr>
      <w:tr w:rsidR="003E7B21" w:rsidRPr="00E37829" w14:paraId="26A05B52" w14:textId="77777777" w:rsidTr="003E7B21">
        <w:trPr>
          <w:trHeight w:val="631"/>
        </w:trPr>
        <w:tc>
          <w:tcPr>
            <w:tcW w:w="496" w:type="pct"/>
            <w:vAlign w:val="center"/>
          </w:tcPr>
          <w:p w14:paraId="4720D525" w14:textId="4B5544AB" w:rsidR="00E37829" w:rsidRPr="003E7B21" w:rsidRDefault="00E37829" w:rsidP="00B924BC">
            <w:pPr>
              <w:jc w:val="center"/>
              <w:rPr>
                <w:rFonts w:ascii="Times New Roman" w:hAnsi="Times New Roman" w:cs="Times New Roman"/>
                <w:szCs w:val="21"/>
              </w:rPr>
            </w:pPr>
            <w:r w:rsidRPr="003E7B21">
              <w:rPr>
                <w:rFonts w:ascii="Times New Roman" w:hAnsi="Times New Roman" w:cs="Times New Roman"/>
                <w:szCs w:val="21"/>
              </w:rPr>
              <w:t>6.2.3</w:t>
            </w:r>
          </w:p>
        </w:tc>
        <w:tc>
          <w:tcPr>
            <w:tcW w:w="2122" w:type="pct"/>
            <w:vAlign w:val="center"/>
          </w:tcPr>
          <w:p w14:paraId="519DB486" w14:textId="60272CE6" w:rsidR="00E37829" w:rsidRPr="003E7B21" w:rsidRDefault="003E7B21" w:rsidP="003E7B21">
            <w:pPr>
              <w:pStyle w:val="IEEEStdsLevel3Header"/>
              <w:numPr>
                <w:ilvl w:val="0"/>
                <w:numId w:val="0"/>
              </w:numPr>
              <w:rPr>
                <w:rFonts w:ascii="Times New Roman" w:hAnsi="Times New Roman"/>
                <w:b w:val="0"/>
                <w:sz w:val="21"/>
                <w:szCs w:val="21"/>
              </w:rPr>
            </w:pPr>
            <w:r w:rsidRPr="003E7B21">
              <w:rPr>
                <w:rFonts w:ascii="Times New Roman" w:hAnsi="Times New Roman"/>
                <w:b w:val="0"/>
                <w:sz w:val="21"/>
                <w:szCs w:val="21"/>
              </w:rPr>
              <w:t>Cost of monitoring data analysis and advanced applications (</w:t>
            </w:r>
            <w:r w:rsidRPr="003E7B21">
              <w:rPr>
                <w:rFonts w:ascii="Times New Roman" w:hAnsi="Times New Roman"/>
                <w:b w:val="0"/>
                <w:i/>
                <w:iCs/>
                <w:sz w:val="21"/>
                <w:szCs w:val="21"/>
              </w:rPr>
              <w:t>C</w:t>
            </w:r>
            <w:r w:rsidRPr="003E7B21">
              <w:rPr>
                <w:rFonts w:ascii="Times New Roman" w:hAnsi="Times New Roman"/>
                <w:b w:val="0"/>
                <w:sz w:val="21"/>
                <w:szCs w:val="21"/>
                <w:vertAlign w:val="subscript"/>
              </w:rPr>
              <w:t>dmo</w:t>
            </w:r>
            <w:r w:rsidRPr="003E7B21">
              <w:rPr>
                <w:rFonts w:ascii="Times New Roman" w:hAnsi="Times New Roman"/>
                <w:b w:val="0"/>
                <w:sz w:val="21"/>
                <w:szCs w:val="21"/>
              </w:rPr>
              <w:t>)</w:t>
            </w:r>
          </w:p>
        </w:tc>
        <w:tc>
          <w:tcPr>
            <w:tcW w:w="2382" w:type="pct"/>
            <w:vAlign w:val="center"/>
          </w:tcPr>
          <w:p w14:paraId="2A23487B" w14:textId="0ADD5FF1" w:rsidR="00E37829" w:rsidRPr="003E7B21" w:rsidRDefault="00E37829" w:rsidP="00B924BC">
            <w:pPr>
              <w:pStyle w:val="IEEEStdsLevel1Header"/>
              <w:numPr>
                <w:ilvl w:val="0"/>
                <w:numId w:val="0"/>
              </w:numPr>
              <w:jc w:val="center"/>
              <w:rPr>
                <w:rFonts w:ascii="Times New Roman" w:hAnsi="Times New Roman"/>
                <w:b w:val="0"/>
                <w:kern w:val="2"/>
                <w:sz w:val="21"/>
                <w:szCs w:val="21"/>
                <w:lang w:eastAsia="zh-CN"/>
              </w:rPr>
            </w:pPr>
            <w:r w:rsidRPr="003E7B21">
              <w:rPr>
                <w:rFonts w:ascii="Times New Roman" w:hAnsi="Times New Roman"/>
                <w:b w:val="0"/>
                <w:sz w:val="21"/>
                <w:szCs w:val="21"/>
              </w:rPr>
              <w:t>C</w:t>
            </w:r>
            <w:r w:rsidRPr="003E7B21">
              <w:rPr>
                <w:rFonts w:ascii="Times New Roman" w:hAnsi="Times New Roman"/>
                <w:b w:val="0"/>
                <w:sz w:val="21"/>
                <w:szCs w:val="21"/>
                <w:vertAlign w:val="subscript"/>
              </w:rPr>
              <w:t xml:space="preserve">dmo </w:t>
            </w:r>
            <w:r w:rsidRPr="003E7B21">
              <w:rPr>
                <w:rFonts w:ascii="Times New Roman" w:hAnsi="Times New Roman"/>
                <w:b w:val="0"/>
                <w:sz w:val="21"/>
                <w:szCs w:val="21"/>
              </w:rPr>
              <w:t>is the cost of monitoring software, including the cost of data research, data docking, software development, etc</w:t>
            </w:r>
          </w:p>
        </w:tc>
      </w:tr>
      <w:tr w:rsidR="00E37829" w:rsidRPr="00E37829" w14:paraId="468DC069" w14:textId="77777777" w:rsidTr="003E7B21">
        <w:trPr>
          <w:trHeight w:val="20"/>
        </w:trPr>
        <w:tc>
          <w:tcPr>
            <w:tcW w:w="496" w:type="pct"/>
            <w:vAlign w:val="center"/>
          </w:tcPr>
          <w:p w14:paraId="70DC1AF3" w14:textId="6CBF9F8A" w:rsidR="00E37829" w:rsidRPr="003E7B21" w:rsidRDefault="003E7B21" w:rsidP="00B924BC">
            <w:pPr>
              <w:jc w:val="center"/>
              <w:rPr>
                <w:rFonts w:ascii="Times New Roman" w:hAnsi="Times New Roman" w:cs="Times New Roman"/>
                <w:szCs w:val="21"/>
              </w:rPr>
            </w:pPr>
            <w:r w:rsidRPr="003E7B21">
              <w:rPr>
                <w:rFonts w:ascii="Times New Roman" w:hAnsi="Times New Roman" w:cs="Times New Roman"/>
                <w:szCs w:val="21"/>
              </w:rPr>
              <w:t>6.3.5</w:t>
            </w:r>
          </w:p>
        </w:tc>
        <w:tc>
          <w:tcPr>
            <w:tcW w:w="2122" w:type="pct"/>
            <w:vAlign w:val="center"/>
          </w:tcPr>
          <w:p w14:paraId="4702C507" w14:textId="2B697E7C" w:rsidR="00E37829" w:rsidRPr="003E7B21" w:rsidRDefault="003E7B21" w:rsidP="003E7B21">
            <w:pPr>
              <w:pStyle w:val="IEEEStdsLevel3Header"/>
              <w:numPr>
                <w:ilvl w:val="0"/>
                <w:numId w:val="0"/>
              </w:numPr>
              <w:rPr>
                <w:rFonts w:ascii="Times New Roman" w:hAnsi="Times New Roman"/>
                <w:b w:val="0"/>
                <w:sz w:val="21"/>
                <w:szCs w:val="21"/>
              </w:rPr>
            </w:pPr>
            <w:bookmarkStart w:id="2" w:name="_Hlk83069431"/>
            <w:r w:rsidRPr="003E7B21">
              <w:rPr>
                <w:rFonts w:ascii="Times New Roman" w:hAnsi="Times New Roman"/>
                <w:b w:val="0"/>
                <w:sz w:val="21"/>
                <w:szCs w:val="21"/>
              </w:rPr>
              <w:t>Profit from peak load shifting of mitigation equipment</w:t>
            </w:r>
            <w:bookmarkEnd w:id="2"/>
            <w:r w:rsidRPr="003E7B21">
              <w:rPr>
                <w:rFonts w:ascii="Times New Roman" w:hAnsi="Times New Roman"/>
                <w:b w:val="0"/>
                <w:sz w:val="21"/>
                <w:szCs w:val="21"/>
              </w:rPr>
              <w:t xml:space="preserve"> (</w:t>
            </w:r>
            <w:r w:rsidRPr="003E7B21">
              <w:rPr>
                <w:rFonts w:ascii="Times New Roman" w:hAnsi="Times New Roman"/>
                <w:b w:val="0"/>
                <w:i/>
                <w:iCs/>
                <w:sz w:val="21"/>
                <w:szCs w:val="21"/>
              </w:rPr>
              <w:t>I</w:t>
            </w:r>
            <w:r w:rsidRPr="003E7B21">
              <w:rPr>
                <w:rFonts w:ascii="Times New Roman" w:hAnsi="Times New Roman"/>
                <w:b w:val="0"/>
                <w:sz w:val="21"/>
                <w:szCs w:val="21"/>
                <w:vertAlign w:val="subscript"/>
              </w:rPr>
              <w:t>pmi</w:t>
            </w:r>
            <w:r w:rsidRPr="003E7B21">
              <w:rPr>
                <w:rFonts w:ascii="Times New Roman" w:hAnsi="Times New Roman"/>
                <w:b w:val="0"/>
                <w:sz w:val="21"/>
                <w:szCs w:val="21"/>
              </w:rPr>
              <w:t>)</w:t>
            </w:r>
          </w:p>
        </w:tc>
        <w:tc>
          <w:tcPr>
            <w:tcW w:w="2382" w:type="pct"/>
            <w:vAlign w:val="center"/>
          </w:tcPr>
          <w:p w14:paraId="504D74FC" w14:textId="0BE15FDC" w:rsidR="00E37829" w:rsidRPr="003E7B21" w:rsidRDefault="003E7B21" w:rsidP="003E7B21">
            <w:pPr>
              <w:pStyle w:val="IEEEStdsParagraph"/>
              <w:rPr>
                <w:sz w:val="21"/>
                <w:szCs w:val="21"/>
                <w:lang w:eastAsia="zh-CN"/>
              </w:rPr>
            </w:pPr>
            <w:r w:rsidRPr="003E7B21">
              <w:rPr>
                <w:sz w:val="21"/>
                <w:szCs w:val="21"/>
                <w:lang w:eastAsia="zh-CN"/>
              </w:rPr>
              <w:t xml:space="preserve">The mitigation equipment with energy storage device can be used not only for voltage sag management, but also for peak load shifting of electric energy to obtain the profit of electricity price difference. The profit can reduce the total cost of voltage sag mitigation project. </w:t>
            </w:r>
          </w:p>
        </w:tc>
      </w:tr>
    </w:tbl>
    <w:p w14:paraId="07877262" w14:textId="77777777" w:rsidR="000F0029" w:rsidRPr="00E37829" w:rsidRDefault="000F0029" w:rsidP="006F7C83"/>
    <w:p w14:paraId="59B5F564" w14:textId="77777777" w:rsidR="00E37829" w:rsidRDefault="00E37829" w:rsidP="006F7C83"/>
    <w:p w14:paraId="4041575D" w14:textId="75587C7F" w:rsidR="00833898" w:rsidRPr="005F647F" w:rsidRDefault="00970EE1" w:rsidP="00833898">
      <w:pPr>
        <w:rPr>
          <w:rFonts w:ascii="Times New Roman" w:hAnsi="Times New Roman" w:cs="Times New Roman"/>
        </w:rPr>
      </w:pPr>
      <w:r>
        <w:rPr>
          <w:rFonts w:ascii="Times New Roman" w:hAnsi="Times New Roman" w:cs="Times New Roman"/>
          <w:b/>
          <w:bCs/>
        </w:rPr>
        <w:t>3</w:t>
      </w:r>
      <w:r w:rsidR="00264544">
        <w:rPr>
          <w:rFonts w:ascii="Times New Roman" w:hAnsi="Times New Roman" w:cs="Times New Roman"/>
          <w:b/>
          <w:bCs/>
        </w:rPr>
        <w:t>.</w:t>
      </w:r>
      <w:r w:rsidR="00712BDD" w:rsidRPr="00712BDD">
        <w:rPr>
          <w:rFonts w:ascii="Times New Roman" w:hAnsi="Times New Roman" w:cs="Times New Roman"/>
          <w:b/>
          <w:bCs/>
        </w:rPr>
        <w:t xml:space="preserve">Clause 5. </w:t>
      </w:r>
      <w:r w:rsidR="00712BDD">
        <w:rPr>
          <w:rFonts w:ascii="Times New Roman" w:hAnsi="Times New Roman" w:cs="Times New Roman"/>
        </w:rPr>
        <w:t>T</w:t>
      </w:r>
      <w:r w:rsidR="005F647F" w:rsidRPr="005F647F">
        <w:rPr>
          <w:rFonts w:ascii="Times New Roman" w:hAnsi="Times New Roman" w:cs="Times New Roman"/>
        </w:rPr>
        <w:t xml:space="preserve">he SIC code </w:t>
      </w:r>
      <w:r w:rsidR="005F647F">
        <w:rPr>
          <w:rFonts w:ascii="Times New Roman" w:hAnsi="Times New Roman" w:cs="Times New Roman"/>
        </w:rPr>
        <w:t>of some</w:t>
      </w:r>
      <w:r w:rsidR="005F647F" w:rsidRPr="005F647F">
        <w:rPr>
          <w:rFonts w:ascii="Times New Roman" w:hAnsi="Times New Roman" w:cs="Times New Roman"/>
        </w:rPr>
        <w:t xml:space="preserve"> </w:t>
      </w:r>
      <w:r w:rsidR="005F647F">
        <w:rPr>
          <w:rFonts w:ascii="Times New Roman" w:hAnsi="Times New Roman" w:cs="Times New Roman"/>
        </w:rPr>
        <w:t xml:space="preserve">industries </w:t>
      </w:r>
      <w:r w:rsidR="005F647F" w:rsidRPr="005F647F">
        <w:rPr>
          <w:rFonts w:ascii="Times New Roman" w:hAnsi="Times New Roman" w:cs="Times New Roman"/>
        </w:rPr>
        <w:t xml:space="preserve">in </w:t>
      </w:r>
      <w:r w:rsidR="005F647F">
        <w:rPr>
          <w:rFonts w:ascii="Times New Roman" w:hAnsi="Times New Roman" w:cs="Times New Roman"/>
        </w:rPr>
        <w:t>Table 1 is revised.</w:t>
      </w:r>
      <w:r w:rsidR="005F647F" w:rsidRPr="005F647F">
        <w:t xml:space="preserve"> </w:t>
      </w:r>
      <w:r w:rsidR="005F647F" w:rsidRPr="005F647F">
        <w:rPr>
          <w:rFonts w:ascii="Times New Roman" w:hAnsi="Times New Roman" w:cs="Times New Roman"/>
        </w:rPr>
        <w:t>Now the S</w:t>
      </w:r>
      <w:r w:rsidR="005F647F">
        <w:rPr>
          <w:rFonts w:ascii="Times New Roman" w:hAnsi="Times New Roman" w:cs="Times New Roman"/>
        </w:rPr>
        <w:t>I</w:t>
      </w:r>
      <w:r w:rsidR="005F647F" w:rsidRPr="005F647F">
        <w:rPr>
          <w:rFonts w:ascii="Times New Roman" w:hAnsi="Times New Roman" w:cs="Times New Roman"/>
        </w:rPr>
        <w:t>C code corresponding to sensitive industries is more accurate</w:t>
      </w:r>
      <w:r w:rsidR="005F647F">
        <w:rPr>
          <w:rFonts w:ascii="Times New Roman" w:hAnsi="Times New Roman" w:cs="Times New Roman"/>
        </w:rPr>
        <w:t>.</w:t>
      </w:r>
    </w:p>
    <w:p w14:paraId="25C169F2" w14:textId="77777777" w:rsidR="00833898" w:rsidRPr="006B2C91" w:rsidRDefault="00833898" w:rsidP="00833898">
      <w:pPr>
        <w:rPr>
          <w:rFonts w:ascii="Times New Roman" w:hAnsi="Times New Roman" w:cs="Times New Roman"/>
        </w:rPr>
      </w:pPr>
    </w:p>
    <w:p w14:paraId="080A369E" w14:textId="2D320A8C" w:rsidR="00833898" w:rsidRDefault="00970EE1" w:rsidP="00833898">
      <w:pPr>
        <w:rPr>
          <w:rFonts w:ascii="Times New Roman" w:hAnsi="Times New Roman" w:cs="Times New Roman"/>
        </w:rPr>
      </w:pPr>
      <w:r>
        <w:rPr>
          <w:rFonts w:ascii="Times New Roman" w:hAnsi="Times New Roman" w:cs="Times New Roman"/>
          <w:b/>
          <w:bCs/>
        </w:rPr>
        <w:t>4</w:t>
      </w:r>
      <w:r w:rsidR="00264544">
        <w:rPr>
          <w:rFonts w:ascii="Times New Roman" w:hAnsi="Times New Roman" w:cs="Times New Roman"/>
          <w:b/>
          <w:bCs/>
        </w:rPr>
        <w:t>.</w:t>
      </w:r>
      <w:r w:rsidR="00712BDD" w:rsidRPr="00712BDD">
        <w:rPr>
          <w:rFonts w:ascii="Times New Roman" w:hAnsi="Times New Roman" w:cs="Times New Roman"/>
          <w:b/>
          <w:bCs/>
        </w:rPr>
        <w:t xml:space="preserve">Appendix A. </w:t>
      </w:r>
      <w:r w:rsidR="00712BDD">
        <w:rPr>
          <w:rFonts w:ascii="Times New Roman" w:hAnsi="Times New Roman" w:cs="Times New Roman"/>
        </w:rPr>
        <w:t>T</w:t>
      </w:r>
      <w:r w:rsidR="005F647F" w:rsidRPr="00712BDD">
        <w:rPr>
          <w:rFonts w:ascii="Times New Roman" w:hAnsi="Times New Roman" w:cs="Times New Roman"/>
        </w:rPr>
        <w:t xml:space="preserve">he SIC codes of non-sensitive industries in Table A.1 are deleted. </w:t>
      </w:r>
      <w:r w:rsidR="00712BDD" w:rsidRPr="00712BDD">
        <w:rPr>
          <w:rFonts w:ascii="Times New Roman" w:hAnsi="Times New Roman" w:cs="Times New Roman"/>
        </w:rPr>
        <w:t>Now the industries listed in Table A1 are all sensitive industries which are vulnerable to voltage sag.</w:t>
      </w:r>
    </w:p>
    <w:p w14:paraId="48156A78" w14:textId="78A26332" w:rsidR="000F0029" w:rsidRDefault="000F0029" w:rsidP="00833898">
      <w:pPr>
        <w:rPr>
          <w:rFonts w:ascii="Times New Roman" w:hAnsi="Times New Roman" w:cs="Times New Roman"/>
        </w:rPr>
      </w:pPr>
    </w:p>
    <w:p w14:paraId="08C45AB2" w14:textId="5FDD5F77" w:rsidR="000F0029" w:rsidRPr="00712BDD" w:rsidRDefault="00970EE1" w:rsidP="00833898">
      <w:pPr>
        <w:rPr>
          <w:rFonts w:ascii="Times New Roman" w:hAnsi="Times New Roman" w:cs="Times New Roman"/>
        </w:rPr>
      </w:pPr>
      <w:r>
        <w:rPr>
          <w:rFonts w:ascii="Times New Roman" w:hAnsi="Times New Roman" w:cs="Times New Roman"/>
          <w:b/>
          <w:bCs/>
        </w:rPr>
        <w:lastRenderedPageBreak/>
        <w:t>5</w:t>
      </w:r>
      <w:r w:rsidR="00264544" w:rsidRPr="00264544">
        <w:rPr>
          <w:rFonts w:ascii="Times New Roman" w:hAnsi="Times New Roman" w:cs="Times New Roman"/>
          <w:b/>
          <w:bCs/>
        </w:rPr>
        <w:t>.</w:t>
      </w:r>
      <w:r w:rsidR="000F0029" w:rsidRPr="00712BDD">
        <w:rPr>
          <w:rFonts w:ascii="Times New Roman" w:hAnsi="Times New Roman" w:cs="Times New Roman"/>
          <w:b/>
          <w:bCs/>
        </w:rPr>
        <w:t xml:space="preserve">Appendix </w:t>
      </w:r>
      <w:r w:rsidR="000F0029">
        <w:rPr>
          <w:rFonts w:ascii="Times New Roman" w:hAnsi="Times New Roman" w:cs="Times New Roman"/>
          <w:b/>
          <w:bCs/>
        </w:rPr>
        <w:t>H</w:t>
      </w:r>
      <w:r w:rsidR="000F0029" w:rsidRPr="00712BDD">
        <w:rPr>
          <w:rFonts w:ascii="Times New Roman" w:hAnsi="Times New Roman" w:cs="Times New Roman"/>
          <w:b/>
          <w:bCs/>
        </w:rPr>
        <w:t>.</w:t>
      </w:r>
      <w:r w:rsidR="000F0029" w:rsidRPr="000F0029">
        <w:t xml:space="preserve"> </w:t>
      </w:r>
      <w:r w:rsidR="000F0029" w:rsidRPr="000F0029">
        <w:rPr>
          <w:rFonts w:ascii="Times New Roman" w:hAnsi="Times New Roman" w:cs="Times New Roman"/>
        </w:rPr>
        <w:t>The annual valu</w:t>
      </w:r>
      <w:r w:rsidR="000F0029" w:rsidRPr="00363EE6">
        <w:rPr>
          <w:rFonts w:ascii="Times New Roman" w:hAnsi="Times New Roman" w:cs="Times New Roman"/>
        </w:rPr>
        <w:t xml:space="preserve">e of profit for peak load shifting of mitigation equipment </w:t>
      </w:r>
      <w:r w:rsidR="000F0029" w:rsidRPr="00363EE6">
        <w:rPr>
          <w:rFonts w:ascii="Times New Roman" w:hAnsi="Times New Roman" w:cs="Times New Roman"/>
          <w:i/>
          <w:iCs/>
        </w:rPr>
        <w:t>A</w:t>
      </w:r>
      <w:r w:rsidR="000F0029" w:rsidRPr="000F0029">
        <w:rPr>
          <w:rFonts w:ascii="Times New Roman" w:hAnsi="Times New Roman" w:cs="Times New Roman"/>
          <w:vertAlign w:val="subscript"/>
        </w:rPr>
        <w:t>pmi</w:t>
      </w:r>
      <w:r w:rsidR="000F0029" w:rsidRPr="000F0029">
        <w:rPr>
          <w:rFonts w:ascii="Times New Roman" w:hAnsi="Times New Roman" w:cs="Times New Roman"/>
        </w:rPr>
        <w:t xml:space="preserve"> are added. </w:t>
      </w:r>
    </w:p>
    <w:p w14:paraId="0ADE0CBD" w14:textId="77777777" w:rsidR="00833898" w:rsidRPr="006B2C91" w:rsidRDefault="00833898" w:rsidP="00833898">
      <w:pPr>
        <w:rPr>
          <w:rFonts w:ascii="Times New Roman" w:hAnsi="Times New Roman" w:cs="Times New Roman"/>
        </w:rPr>
      </w:pPr>
    </w:p>
    <w:p w14:paraId="039B7120" w14:textId="19E21A0A" w:rsidR="00833898" w:rsidRDefault="00970EE1" w:rsidP="00833898">
      <w:pPr>
        <w:rPr>
          <w:rFonts w:ascii="Times New Roman" w:hAnsi="Times New Roman" w:cs="Times New Roman"/>
        </w:rPr>
      </w:pPr>
      <w:r>
        <w:rPr>
          <w:rFonts w:ascii="Times New Roman" w:hAnsi="Times New Roman" w:cs="Times New Roman"/>
          <w:b/>
          <w:bCs/>
        </w:rPr>
        <w:t>6</w:t>
      </w:r>
      <w:r w:rsidR="00264544">
        <w:rPr>
          <w:rFonts w:ascii="Times New Roman" w:hAnsi="Times New Roman" w:cs="Times New Roman"/>
          <w:b/>
          <w:bCs/>
        </w:rPr>
        <w:t>.</w:t>
      </w:r>
      <w:r w:rsidR="00712BDD" w:rsidRPr="00712BDD">
        <w:rPr>
          <w:rFonts w:ascii="Times New Roman" w:hAnsi="Times New Roman" w:cs="Times New Roman"/>
          <w:b/>
          <w:bCs/>
        </w:rPr>
        <w:t>Appendix I.</w:t>
      </w:r>
      <w:r w:rsidR="00712BDD">
        <w:rPr>
          <w:rFonts w:ascii="Times New Roman" w:hAnsi="Times New Roman" w:cs="Times New Roman"/>
        </w:rPr>
        <w:t xml:space="preserve"> </w:t>
      </w:r>
      <w:r w:rsidR="00712BDD" w:rsidRPr="00712BDD">
        <w:rPr>
          <w:rFonts w:ascii="Times New Roman" w:hAnsi="Times New Roman" w:cs="Times New Roman"/>
        </w:rPr>
        <w:t xml:space="preserve">In the case of Appendix I, the energy storage </w:t>
      </w:r>
      <w:r w:rsidR="00712BDD">
        <w:rPr>
          <w:rFonts w:ascii="Times New Roman" w:hAnsi="Times New Roman" w:cs="Times New Roman"/>
        </w:rPr>
        <w:t>mitigation</w:t>
      </w:r>
      <w:r w:rsidR="00712BDD" w:rsidRPr="00712BDD">
        <w:rPr>
          <w:rFonts w:ascii="Times New Roman" w:hAnsi="Times New Roman" w:cs="Times New Roman"/>
        </w:rPr>
        <w:t xml:space="preserve"> scheme of lithium</w:t>
      </w:r>
      <w:r w:rsidR="00712BDD">
        <w:rPr>
          <w:rFonts w:ascii="Times New Roman" w:hAnsi="Times New Roman" w:cs="Times New Roman"/>
        </w:rPr>
        <w:t>-</w:t>
      </w:r>
      <w:r w:rsidR="00712BDD" w:rsidRPr="00712BDD">
        <w:rPr>
          <w:rFonts w:ascii="Times New Roman" w:hAnsi="Times New Roman" w:cs="Times New Roman"/>
        </w:rPr>
        <w:t xml:space="preserve">ion battery is added. </w:t>
      </w:r>
      <w:r w:rsidR="00712BDD">
        <w:rPr>
          <w:rFonts w:ascii="Times New Roman" w:hAnsi="Times New Roman" w:cs="Times New Roman"/>
        </w:rPr>
        <w:t>Now t</w:t>
      </w:r>
      <w:r w:rsidR="00712BDD" w:rsidRPr="00712BDD">
        <w:rPr>
          <w:rFonts w:ascii="Times New Roman" w:hAnsi="Times New Roman" w:cs="Times New Roman"/>
        </w:rPr>
        <w:t xml:space="preserve">here are four </w:t>
      </w:r>
      <w:r w:rsidR="00712BDD">
        <w:rPr>
          <w:rFonts w:ascii="Times New Roman" w:hAnsi="Times New Roman" w:cs="Times New Roman"/>
        </w:rPr>
        <w:t>mitigation</w:t>
      </w:r>
      <w:r w:rsidR="00712BDD" w:rsidRPr="00712BDD">
        <w:rPr>
          <w:rFonts w:ascii="Times New Roman" w:hAnsi="Times New Roman" w:cs="Times New Roman"/>
        </w:rPr>
        <w:t xml:space="preserve"> schemes, namely</w:t>
      </w:r>
      <w:r w:rsidR="00712BDD">
        <w:rPr>
          <w:rFonts w:ascii="Times New Roman" w:hAnsi="Times New Roman" w:cs="Times New Roman"/>
        </w:rPr>
        <w:t xml:space="preserve"> </w:t>
      </w:r>
      <w:r w:rsidR="00712BDD" w:rsidRPr="00712BDD">
        <w:rPr>
          <w:rFonts w:ascii="Times New Roman" w:hAnsi="Times New Roman" w:cs="Times New Roman"/>
        </w:rPr>
        <w:t>the flywheel energy storage mitigation scheme, lithium-ion battery energy storage mitigation scheme, DVR</w:t>
      </w:r>
      <w:r w:rsidR="00712BDD">
        <w:rPr>
          <w:rFonts w:ascii="Times New Roman" w:hAnsi="Times New Roman" w:cs="Times New Roman"/>
        </w:rPr>
        <w:t xml:space="preserve"> </w:t>
      </w:r>
      <w:r w:rsidR="00712BDD" w:rsidRPr="00712BDD">
        <w:rPr>
          <w:rFonts w:ascii="Times New Roman" w:hAnsi="Times New Roman" w:cs="Times New Roman"/>
        </w:rPr>
        <w:t>compensation mitigation scheme</w:t>
      </w:r>
      <w:r w:rsidR="00712BDD">
        <w:rPr>
          <w:rFonts w:ascii="Times New Roman" w:hAnsi="Times New Roman" w:cs="Times New Roman"/>
        </w:rPr>
        <w:t xml:space="preserve"> </w:t>
      </w:r>
      <w:r w:rsidR="00712BDD" w:rsidRPr="00712BDD">
        <w:rPr>
          <w:rFonts w:ascii="Times New Roman" w:hAnsi="Times New Roman" w:cs="Times New Roman"/>
        </w:rPr>
        <w:t>and UPS compensation mitigation scheme.</w:t>
      </w:r>
    </w:p>
    <w:p w14:paraId="25753EA2" w14:textId="77777777" w:rsidR="00566B60" w:rsidRPr="006B2C91" w:rsidRDefault="00566B60" w:rsidP="00566B60"/>
    <w:p w14:paraId="6438FDD7" w14:textId="77777777" w:rsidR="00833898" w:rsidRPr="00712BDD" w:rsidRDefault="00833898" w:rsidP="00833898">
      <w:pPr>
        <w:rPr>
          <w:rFonts w:ascii="Times New Roman" w:hAnsi="Times New Roman" w:cs="Times New Roman"/>
        </w:rPr>
      </w:pPr>
    </w:p>
    <w:sectPr w:rsidR="00833898" w:rsidRPr="00712B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09E0B" w14:textId="77777777" w:rsidR="00894D68" w:rsidRDefault="00894D68" w:rsidP="0090023F">
      <w:r>
        <w:separator/>
      </w:r>
    </w:p>
  </w:endnote>
  <w:endnote w:type="continuationSeparator" w:id="0">
    <w:p w14:paraId="69928789" w14:textId="77777777" w:rsidR="00894D68" w:rsidRDefault="00894D68" w:rsidP="0090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B7A34" w14:textId="77777777" w:rsidR="00894D68" w:rsidRDefault="00894D68" w:rsidP="0090023F">
      <w:r>
        <w:separator/>
      </w:r>
    </w:p>
  </w:footnote>
  <w:footnote w:type="continuationSeparator" w:id="0">
    <w:p w14:paraId="517D272D" w14:textId="77777777" w:rsidR="00894D68" w:rsidRDefault="00894D68" w:rsidP="00900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2E71"/>
    <w:multiLevelType w:val="hybridMultilevel"/>
    <w:tmpl w:val="B66AB510"/>
    <w:lvl w:ilvl="0" w:tplc="BB040A66">
      <w:start w:val="1"/>
      <w:numFmt w:val="decimal"/>
      <w:lvlText w:val="(%1)"/>
      <w:lvlJc w:val="left"/>
      <w:pPr>
        <w:ind w:left="-227" w:firstLine="227"/>
      </w:pPr>
      <w:rPr>
        <w:rFonts w:hint="eastAsia"/>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FEB3A40"/>
    <w:multiLevelType w:val="hybridMultilevel"/>
    <w:tmpl w:val="B66AB510"/>
    <w:lvl w:ilvl="0" w:tplc="BB040A66">
      <w:start w:val="1"/>
      <w:numFmt w:val="decimal"/>
      <w:lvlText w:val="(%1)"/>
      <w:lvlJc w:val="left"/>
      <w:pPr>
        <w:ind w:left="-227" w:firstLine="227"/>
      </w:pPr>
      <w:rPr>
        <w:rFonts w:hint="eastAsia"/>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1FD6DA6"/>
    <w:multiLevelType w:val="hybridMultilevel"/>
    <w:tmpl w:val="7E7E1E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F956C21"/>
    <w:multiLevelType w:val="multilevel"/>
    <w:tmpl w:val="6F956C21"/>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rPr>
    </w:lvl>
  </w:abstractNum>
  <w:num w:numId="1">
    <w:abstractNumId w:val="2"/>
  </w:num>
  <w:num w:numId="2">
    <w:abstractNumId w:val="1"/>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98"/>
    <w:rsid w:val="000345A6"/>
    <w:rsid w:val="000363B8"/>
    <w:rsid w:val="000F0029"/>
    <w:rsid w:val="0010104D"/>
    <w:rsid w:val="001233C0"/>
    <w:rsid w:val="00141AEB"/>
    <w:rsid w:val="001C3A2C"/>
    <w:rsid w:val="001D0D86"/>
    <w:rsid w:val="00264544"/>
    <w:rsid w:val="00277C5B"/>
    <w:rsid w:val="00343D14"/>
    <w:rsid w:val="00363EE6"/>
    <w:rsid w:val="003E7B21"/>
    <w:rsid w:val="0046625B"/>
    <w:rsid w:val="00487B6D"/>
    <w:rsid w:val="004E22D2"/>
    <w:rsid w:val="0055276B"/>
    <w:rsid w:val="00566B60"/>
    <w:rsid w:val="005F647F"/>
    <w:rsid w:val="006D164B"/>
    <w:rsid w:val="006F7C83"/>
    <w:rsid w:val="00712BDD"/>
    <w:rsid w:val="00720287"/>
    <w:rsid w:val="00731BA2"/>
    <w:rsid w:val="00772925"/>
    <w:rsid w:val="00787851"/>
    <w:rsid w:val="007C493A"/>
    <w:rsid w:val="007E6016"/>
    <w:rsid w:val="0083045C"/>
    <w:rsid w:val="00833898"/>
    <w:rsid w:val="00885DB5"/>
    <w:rsid w:val="00894D68"/>
    <w:rsid w:val="008B658A"/>
    <w:rsid w:val="008D1C35"/>
    <w:rsid w:val="0090023F"/>
    <w:rsid w:val="00916FA5"/>
    <w:rsid w:val="00970775"/>
    <w:rsid w:val="00970EE1"/>
    <w:rsid w:val="009A0D02"/>
    <w:rsid w:val="009D508D"/>
    <w:rsid w:val="00A51389"/>
    <w:rsid w:val="00AB2F5E"/>
    <w:rsid w:val="00B43AB2"/>
    <w:rsid w:val="00C272E8"/>
    <w:rsid w:val="00CF140E"/>
    <w:rsid w:val="00D60DE5"/>
    <w:rsid w:val="00DE2AA8"/>
    <w:rsid w:val="00DE3444"/>
    <w:rsid w:val="00DF0AF8"/>
    <w:rsid w:val="00E37829"/>
    <w:rsid w:val="00F267B1"/>
    <w:rsid w:val="00F9731F"/>
    <w:rsid w:val="00FF0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ACA22"/>
  <w15:chartTrackingRefBased/>
  <w15:docId w15:val="{6B54E317-F8BA-4ADE-8B87-ED7A9DCE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B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898"/>
    <w:pPr>
      <w:ind w:firstLineChars="200" w:firstLine="420"/>
    </w:pPr>
  </w:style>
  <w:style w:type="table" w:styleId="a4">
    <w:name w:val="Table Grid"/>
    <w:basedOn w:val="a1"/>
    <w:uiPriority w:val="39"/>
    <w:rsid w:val="006F7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0023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0023F"/>
    <w:rPr>
      <w:sz w:val="18"/>
      <w:szCs w:val="18"/>
    </w:rPr>
  </w:style>
  <w:style w:type="paragraph" w:styleId="a7">
    <w:name w:val="footer"/>
    <w:basedOn w:val="a"/>
    <w:link w:val="a8"/>
    <w:uiPriority w:val="99"/>
    <w:unhideWhenUsed/>
    <w:rsid w:val="0090023F"/>
    <w:pPr>
      <w:tabs>
        <w:tab w:val="center" w:pos="4153"/>
        <w:tab w:val="right" w:pos="8306"/>
      </w:tabs>
      <w:snapToGrid w:val="0"/>
      <w:jc w:val="left"/>
    </w:pPr>
    <w:rPr>
      <w:sz w:val="18"/>
      <w:szCs w:val="18"/>
    </w:rPr>
  </w:style>
  <w:style w:type="character" w:customStyle="1" w:styleId="a8">
    <w:name w:val="页脚 字符"/>
    <w:basedOn w:val="a0"/>
    <w:link w:val="a7"/>
    <w:uiPriority w:val="99"/>
    <w:rsid w:val="0090023F"/>
    <w:rPr>
      <w:sz w:val="18"/>
      <w:szCs w:val="18"/>
    </w:rPr>
  </w:style>
  <w:style w:type="paragraph" w:customStyle="1" w:styleId="IEEEStdsLevel1Header">
    <w:name w:val="IEEEStds Level 1 Header"/>
    <w:basedOn w:val="a"/>
    <w:next w:val="a"/>
    <w:link w:val="IEEEStdsLevel1HeaderChar"/>
    <w:rsid w:val="00DE3444"/>
    <w:pPr>
      <w:keepNext/>
      <w:keepLines/>
      <w:widowControl/>
      <w:numPr>
        <w:numId w:val="4"/>
      </w:numPr>
      <w:suppressAutoHyphens/>
      <w:spacing w:before="360" w:after="240"/>
      <w:jc w:val="left"/>
      <w:outlineLvl w:val="0"/>
    </w:pPr>
    <w:rPr>
      <w:rFonts w:ascii="Arial" w:hAnsi="Arial" w:cs="Times New Roman"/>
      <w:b/>
      <w:kern w:val="0"/>
      <w:sz w:val="24"/>
      <w:szCs w:val="20"/>
      <w:lang w:eastAsia="ja-JP"/>
    </w:rPr>
  </w:style>
  <w:style w:type="paragraph" w:customStyle="1" w:styleId="IEEEStdsLevel4Header">
    <w:name w:val="IEEEStds Level 4 Header"/>
    <w:basedOn w:val="IEEEStdsLevel3Header"/>
    <w:next w:val="a"/>
    <w:rsid w:val="00DE3444"/>
    <w:pPr>
      <w:numPr>
        <w:ilvl w:val="3"/>
      </w:numPr>
      <w:tabs>
        <w:tab w:val="num" w:pos="360"/>
      </w:tabs>
      <w:ind w:left="1680" w:hanging="420"/>
      <w:outlineLvl w:val="3"/>
    </w:pPr>
  </w:style>
  <w:style w:type="paragraph" w:customStyle="1" w:styleId="IEEEStdsLevel3Header">
    <w:name w:val="IEEEStds Level 3 Header"/>
    <w:basedOn w:val="IEEEStdsLevel2Header"/>
    <w:next w:val="a"/>
    <w:link w:val="IEEEStdsLevel3HeaderChar"/>
    <w:rsid w:val="00DE3444"/>
    <w:pPr>
      <w:numPr>
        <w:ilvl w:val="2"/>
      </w:numPr>
      <w:tabs>
        <w:tab w:val="num" w:pos="360"/>
      </w:tabs>
      <w:spacing w:before="240"/>
      <w:ind w:left="1260" w:hanging="420"/>
      <w:outlineLvl w:val="2"/>
    </w:pPr>
    <w:rPr>
      <w:sz w:val="20"/>
    </w:rPr>
  </w:style>
  <w:style w:type="paragraph" w:customStyle="1" w:styleId="IEEEStdsLevel2Header">
    <w:name w:val="IEEEStds Level 2 Header"/>
    <w:basedOn w:val="IEEEStdsLevel1Header"/>
    <w:next w:val="a"/>
    <w:qFormat/>
    <w:rsid w:val="00DE3444"/>
    <w:pPr>
      <w:numPr>
        <w:ilvl w:val="1"/>
      </w:numPr>
      <w:tabs>
        <w:tab w:val="num" w:pos="360"/>
      </w:tabs>
      <w:ind w:left="840" w:hanging="420"/>
      <w:outlineLvl w:val="1"/>
    </w:pPr>
    <w:rPr>
      <w:sz w:val="22"/>
    </w:rPr>
  </w:style>
  <w:style w:type="paragraph" w:customStyle="1" w:styleId="IEEEStdsLevel5Header">
    <w:name w:val="IEEEStds Level 5 Header"/>
    <w:basedOn w:val="IEEEStdsLevel4Header"/>
    <w:next w:val="a"/>
    <w:qFormat/>
    <w:rsid w:val="00DE3444"/>
    <w:pPr>
      <w:numPr>
        <w:ilvl w:val="4"/>
      </w:numPr>
      <w:tabs>
        <w:tab w:val="num" w:pos="360"/>
      </w:tabs>
      <w:ind w:left="2100" w:hanging="420"/>
      <w:outlineLvl w:val="4"/>
    </w:pPr>
  </w:style>
  <w:style w:type="paragraph" w:customStyle="1" w:styleId="IEEEStdsLevel6Header">
    <w:name w:val="IEEEStds Level 6 Header"/>
    <w:basedOn w:val="IEEEStdsLevel5Header"/>
    <w:next w:val="a"/>
    <w:rsid w:val="00DE3444"/>
    <w:pPr>
      <w:numPr>
        <w:ilvl w:val="5"/>
      </w:numPr>
      <w:tabs>
        <w:tab w:val="num" w:pos="360"/>
      </w:tabs>
      <w:ind w:left="2520" w:hanging="420"/>
      <w:outlineLvl w:val="5"/>
    </w:pPr>
  </w:style>
  <w:style w:type="paragraph" w:customStyle="1" w:styleId="IEEEStdsLevel7Header">
    <w:name w:val="IEEEStds Level 7 Header"/>
    <w:basedOn w:val="IEEEStdsLevel6Header"/>
    <w:next w:val="a"/>
    <w:rsid w:val="00DE3444"/>
    <w:pPr>
      <w:numPr>
        <w:ilvl w:val="6"/>
      </w:numPr>
      <w:tabs>
        <w:tab w:val="num" w:pos="360"/>
      </w:tabs>
      <w:ind w:left="2940" w:hanging="420"/>
      <w:outlineLvl w:val="6"/>
    </w:pPr>
  </w:style>
  <w:style w:type="paragraph" w:customStyle="1" w:styleId="IEEEStdsLevel8Header">
    <w:name w:val="IEEEStds Level 8 Header"/>
    <w:basedOn w:val="IEEEStdsLevel7Header"/>
    <w:next w:val="a"/>
    <w:rsid w:val="00DE3444"/>
    <w:pPr>
      <w:numPr>
        <w:ilvl w:val="7"/>
      </w:numPr>
      <w:tabs>
        <w:tab w:val="num" w:pos="360"/>
      </w:tabs>
      <w:ind w:left="3360" w:hanging="420"/>
      <w:outlineLvl w:val="7"/>
    </w:pPr>
  </w:style>
  <w:style w:type="paragraph" w:customStyle="1" w:styleId="IEEEStdsLevel9Header">
    <w:name w:val="IEEEStds Level 9 Header"/>
    <w:basedOn w:val="IEEEStdsLevel8Header"/>
    <w:next w:val="a"/>
    <w:rsid w:val="00DE3444"/>
    <w:pPr>
      <w:numPr>
        <w:ilvl w:val="8"/>
      </w:numPr>
      <w:tabs>
        <w:tab w:val="num" w:pos="360"/>
      </w:tabs>
      <w:ind w:left="3780" w:hanging="420"/>
      <w:outlineLvl w:val="8"/>
    </w:pPr>
  </w:style>
  <w:style w:type="character" w:customStyle="1" w:styleId="IEEEStdsLevel1HeaderChar">
    <w:name w:val="IEEEStds Level 1 Header Char"/>
    <w:link w:val="IEEEStdsLevel1Header"/>
    <w:rsid w:val="00DE3444"/>
    <w:rPr>
      <w:rFonts w:ascii="Arial" w:hAnsi="Arial" w:cs="Times New Roman"/>
      <w:b/>
      <w:kern w:val="0"/>
      <w:sz w:val="24"/>
      <w:szCs w:val="20"/>
      <w:lang w:eastAsia="ja-JP"/>
    </w:rPr>
  </w:style>
  <w:style w:type="character" w:customStyle="1" w:styleId="IEEEStdsLevel3HeaderChar">
    <w:name w:val="IEEEStds Level 3 Header Char"/>
    <w:basedOn w:val="a0"/>
    <w:link w:val="IEEEStdsLevel3Header"/>
    <w:rsid w:val="003E7B21"/>
    <w:rPr>
      <w:rFonts w:ascii="Arial" w:hAnsi="Arial" w:cs="Times New Roman"/>
      <w:b/>
      <w:kern w:val="0"/>
      <w:sz w:val="20"/>
      <w:szCs w:val="20"/>
      <w:lang w:eastAsia="ja-JP"/>
    </w:rPr>
  </w:style>
  <w:style w:type="paragraph" w:customStyle="1" w:styleId="IEEEStdsParagraph">
    <w:name w:val="IEEEStds Paragraph"/>
    <w:link w:val="IEEEStdsParagraphChar"/>
    <w:rsid w:val="003E7B21"/>
    <w:pPr>
      <w:spacing w:after="240"/>
      <w:jc w:val="both"/>
    </w:pPr>
    <w:rPr>
      <w:rFonts w:ascii="Times New Roman" w:hAnsi="Times New Roman" w:cs="Times New Roman"/>
      <w:kern w:val="0"/>
      <w:sz w:val="20"/>
      <w:szCs w:val="20"/>
      <w:lang w:eastAsia="ja-JP"/>
    </w:rPr>
  </w:style>
  <w:style w:type="character" w:customStyle="1" w:styleId="IEEEStdsParagraphChar">
    <w:name w:val="IEEEStds Paragraph Char"/>
    <w:link w:val="IEEEStdsParagraph"/>
    <w:rsid w:val="003E7B21"/>
    <w:rPr>
      <w:rFonts w:ascii="Times New Roman" w:hAnsi="Times New Roman" w:cs="Times New Roman"/>
      <w:kern w:val="0"/>
      <w:sz w:val="20"/>
      <w:szCs w:val="20"/>
      <w:lang w:eastAsia="ja-JP"/>
    </w:rPr>
  </w:style>
  <w:style w:type="paragraph" w:customStyle="1" w:styleId="1">
    <w:name w:val="正文1"/>
    <w:rsid w:val="00D60DE5"/>
    <w:pPr>
      <w:jc w:val="both"/>
    </w:pPr>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7231">
      <w:bodyDiv w:val="1"/>
      <w:marLeft w:val="0"/>
      <w:marRight w:val="0"/>
      <w:marTop w:val="0"/>
      <w:marBottom w:val="0"/>
      <w:divBdr>
        <w:top w:val="none" w:sz="0" w:space="0" w:color="auto"/>
        <w:left w:val="none" w:sz="0" w:space="0" w:color="auto"/>
        <w:bottom w:val="none" w:sz="0" w:space="0" w:color="auto"/>
        <w:right w:val="none" w:sz="0" w:space="0" w:color="auto"/>
      </w:divBdr>
    </w:div>
    <w:div w:id="75520969">
      <w:bodyDiv w:val="1"/>
      <w:marLeft w:val="0"/>
      <w:marRight w:val="0"/>
      <w:marTop w:val="0"/>
      <w:marBottom w:val="0"/>
      <w:divBdr>
        <w:top w:val="none" w:sz="0" w:space="0" w:color="auto"/>
        <w:left w:val="none" w:sz="0" w:space="0" w:color="auto"/>
        <w:bottom w:val="none" w:sz="0" w:space="0" w:color="auto"/>
        <w:right w:val="none" w:sz="0" w:space="0" w:color="auto"/>
      </w:divBdr>
    </w:div>
    <w:div w:id="222182453">
      <w:bodyDiv w:val="1"/>
      <w:marLeft w:val="0"/>
      <w:marRight w:val="0"/>
      <w:marTop w:val="0"/>
      <w:marBottom w:val="0"/>
      <w:divBdr>
        <w:top w:val="none" w:sz="0" w:space="0" w:color="auto"/>
        <w:left w:val="none" w:sz="0" w:space="0" w:color="auto"/>
        <w:bottom w:val="none" w:sz="0" w:space="0" w:color="auto"/>
        <w:right w:val="none" w:sz="0" w:space="0" w:color="auto"/>
      </w:divBdr>
    </w:div>
    <w:div w:id="382754746">
      <w:bodyDiv w:val="1"/>
      <w:marLeft w:val="0"/>
      <w:marRight w:val="0"/>
      <w:marTop w:val="0"/>
      <w:marBottom w:val="0"/>
      <w:divBdr>
        <w:top w:val="none" w:sz="0" w:space="0" w:color="auto"/>
        <w:left w:val="none" w:sz="0" w:space="0" w:color="auto"/>
        <w:bottom w:val="none" w:sz="0" w:space="0" w:color="auto"/>
        <w:right w:val="none" w:sz="0" w:space="0" w:color="auto"/>
      </w:divBdr>
    </w:div>
    <w:div w:id="738819728">
      <w:bodyDiv w:val="1"/>
      <w:marLeft w:val="0"/>
      <w:marRight w:val="0"/>
      <w:marTop w:val="0"/>
      <w:marBottom w:val="0"/>
      <w:divBdr>
        <w:top w:val="none" w:sz="0" w:space="0" w:color="auto"/>
        <w:left w:val="none" w:sz="0" w:space="0" w:color="auto"/>
        <w:bottom w:val="none" w:sz="0" w:space="0" w:color="auto"/>
        <w:right w:val="none" w:sz="0" w:space="0" w:color="auto"/>
      </w:divBdr>
    </w:div>
    <w:div w:id="966618474">
      <w:bodyDiv w:val="1"/>
      <w:marLeft w:val="0"/>
      <w:marRight w:val="0"/>
      <w:marTop w:val="0"/>
      <w:marBottom w:val="0"/>
      <w:divBdr>
        <w:top w:val="none" w:sz="0" w:space="0" w:color="auto"/>
        <w:left w:val="none" w:sz="0" w:space="0" w:color="auto"/>
        <w:bottom w:val="none" w:sz="0" w:space="0" w:color="auto"/>
        <w:right w:val="none" w:sz="0" w:space="0" w:color="auto"/>
      </w:divBdr>
    </w:div>
    <w:div w:id="973220648">
      <w:bodyDiv w:val="1"/>
      <w:marLeft w:val="0"/>
      <w:marRight w:val="0"/>
      <w:marTop w:val="0"/>
      <w:marBottom w:val="0"/>
      <w:divBdr>
        <w:top w:val="none" w:sz="0" w:space="0" w:color="auto"/>
        <w:left w:val="none" w:sz="0" w:space="0" w:color="auto"/>
        <w:bottom w:val="none" w:sz="0" w:space="0" w:color="auto"/>
        <w:right w:val="none" w:sz="0" w:space="0" w:color="auto"/>
      </w:divBdr>
    </w:div>
    <w:div w:id="1051005503">
      <w:bodyDiv w:val="1"/>
      <w:marLeft w:val="0"/>
      <w:marRight w:val="0"/>
      <w:marTop w:val="0"/>
      <w:marBottom w:val="0"/>
      <w:divBdr>
        <w:top w:val="none" w:sz="0" w:space="0" w:color="auto"/>
        <w:left w:val="none" w:sz="0" w:space="0" w:color="auto"/>
        <w:bottom w:val="none" w:sz="0" w:space="0" w:color="auto"/>
        <w:right w:val="none" w:sz="0" w:space="0" w:color="auto"/>
      </w:divBdr>
    </w:div>
    <w:div w:id="1182545938">
      <w:bodyDiv w:val="1"/>
      <w:marLeft w:val="0"/>
      <w:marRight w:val="0"/>
      <w:marTop w:val="0"/>
      <w:marBottom w:val="0"/>
      <w:divBdr>
        <w:top w:val="none" w:sz="0" w:space="0" w:color="auto"/>
        <w:left w:val="none" w:sz="0" w:space="0" w:color="auto"/>
        <w:bottom w:val="none" w:sz="0" w:space="0" w:color="auto"/>
        <w:right w:val="none" w:sz="0" w:space="0" w:color="auto"/>
      </w:divBdr>
    </w:div>
    <w:div w:id="1189638506">
      <w:bodyDiv w:val="1"/>
      <w:marLeft w:val="0"/>
      <w:marRight w:val="0"/>
      <w:marTop w:val="0"/>
      <w:marBottom w:val="0"/>
      <w:divBdr>
        <w:top w:val="none" w:sz="0" w:space="0" w:color="auto"/>
        <w:left w:val="none" w:sz="0" w:space="0" w:color="auto"/>
        <w:bottom w:val="none" w:sz="0" w:space="0" w:color="auto"/>
        <w:right w:val="none" w:sz="0" w:space="0" w:color="auto"/>
      </w:divBdr>
    </w:div>
    <w:div w:id="1197817510">
      <w:bodyDiv w:val="1"/>
      <w:marLeft w:val="0"/>
      <w:marRight w:val="0"/>
      <w:marTop w:val="0"/>
      <w:marBottom w:val="0"/>
      <w:divBdr>
        <w:top w:val="none" w:sz="0" w:space="0" w:color="auto"/>
        <w:left w:val="none" w:sz="0" w:space="0" w:color="auto"/>
        <w:bottom w:val="none" w:sz="0" w:space="0" w:color="auto"/>
        <w:right w:val="none" w:sz="0" w:space="0" w:color="auto"/>
      </w:divBdr>
    </w:div>
    <w:div w:id="1308392909">
      <w:bodyDiv w:val="1"/>
      <w:marLeft w:val="0"/>
      <w:marRight w:val="0"/>
      <w:marTop w:val="0"/>
      <w:marBottom w:val="0"/>
      <w:divBdr>
        <w:top w:val="none" w:sz="0" w:space="0" w:color="auto"/>
        <w:left w:val="none" w:sz="0" w:space="0" w:color="auto"/>
        <w:bottom w:val="none" w:sz="0" w:space="0" w:color="auto"/>
        <w:right w:val="none" w:sz="0" w:space="0" w:color="auto"/>
      </w:divBdr>
    </w:div>
    <w:div w:id="1490755183">
      <w:bodyDiv w:val="1"/>
      <w:marLeft w:val="0"/>
      <w:marRight w:val="0"/>
      <w:marTop w:val="0"/>
      <w:marBottom w:val="0"/>
      <w:divBdr>
        <w:top w:val="none" w:sz="0" w:space="0" w:color="auto"/>
        <w:left w:val="none" w:sz="0" w:space="0" w:color="auto"/>
        <w:bottom w:val="none" w:sz="0" w:space="0" w:color="auto"/>
        <w:right w:val="none" w:sz="0" w:space="0" w:color="auto"/>
      </w:divBdr>
    </w:div>
    <w:div w:id="1589995138">
      <w:bodyDiv w:val="1"/>
      <w:marLeft w:val="0"/>
      <w:marRight w:val="0"/>
      <w:marTop w:val="0"/>
      <w:marBottom w:val="0"/>
      <w:divBdr>
        <w:top w:val="none" w:sz="0" w:space="0" w:color="auto"/>
        <w:left w:val="none" w:sz="0" w:space="0" w:color="auto"/>
        <w:bottom w:val="none" w:sz="0" w:space="0" w:color="auto"/>
        <w:right w:val="none" w:sz="0" w:space="0" w:color="auto"/>
      </w:divBdr>
    </w:div>
    <w:div w:id="1783915979">
      <w:bodyDiv w:val="1"/>
      <w:marLeft w:val="0"/>
      <w:marRight w:val="0"/>
      <w:marTop w:val="0"/>
      <w:marBottom w:val="0"/>
      <w:divBdr>
        <w:top w:val="none" w:sz="0" w:space="0" w:color="auto"/>
        <w:left w:val="none" w:sz="0" w:space="0" w:color="auto"/>
        <w:bottom w:val="none" w:sz="0" w:space="0" w:color="auto"/>
        <w:right w:val="none" w:sz="0" w:space="0" w:color="auto"/>
      </w:divBdr>
    </w:div>
    <w:div w:id="1799954885">
      <w:bodyDiv w:val="1"/>
      <w:marLeft w:val="0"/>
      <w:marRight w:val="0"/>
      <w:marTop w:val="0"/>
      <w:marBottom w:val="0"/>
      <w:divBdr>
        <w:top w:val="none" w:sz="0" w:space="0" w:color="auto"/>
        <w:left w:val="none" w:sz="0" w:space="0" w:color="auto"/>
        <w:bottom w:val="none" w:sz="0" w:space="0" w:color="auto"/>
        <w:right w:val="none" w:sz="0" w:space="0" w:color="auto"/>
      </w:divBdr>
    </w:div>
    <w:div w:id="1861507470">
      <w:bodyDiv w:val="1"/>
      <w:marLeft w:val="0"/>
      <w:marRight w:val="0"/>
      <w:marTop w:val="0"/>
      <w:marBottom w:val="0"/>
      <w:divBdr>
        <w:top w:val="none" w:sz="0" w:space="0" w:color="auto"/>
        <w:left w:val="none" w:sz="0" w:space="0" w:color="auto"/>
        <w:bottom w:val="none" w:sz="0" w:space="0" w:color="auto"/>
        <w:right w:val="none" w:sz="0" w:space="0" w:color="auto"/>
      </w:divBdr>
    </w:div>
    <w:div w:id="1922568348">
      <w:bodyDiv w:val="1"/>
      <w:marLeft w:val="0"/>
      <w:marRight w:val="0"/>
      <w:marTop w:val="0"/>
      <w:marBottom w:val="0"/>
      <w:divBdr>
        <w:top w:val="none" w:sz="0" w:space="0" w:color="auto"/>
        <w:left w:val="none" w:sz="0" w:space="0" w:color="auto"/>
        <w:bottom w:val="none" w:sz="0" w:space="0" w:color="auto"/>
        <w:right w:val="none" w:sz="0" w:space="0" w:color="auto"/>
      </w:divBdr>
    </w:div>
    <w:div w:id="2030989904">
      <w:bodyDiv w:val="1"/>
      <w:marLeft w:val="0"/>
      <w:marRight w:val="0"/>
      <w:marTop w:val="0"/>
      <w:marBottom w:val="0"/>
      <w:divBdr>
        <w:top w:val="none" w:sz="0" w:space="0" w:color="auto"/>
        <w:left w:val="none" w:sz="0" w:space="0" w:color="auto"/>
        <w:bottom w:val="none" w:sz="0" w:space="0" w:color="auto"/>
        <w:right w:val="none" w:sz="0" w:space="0" w:color="auto"/>
      </w:divBdr>
    </w:div>
    <w:div w:id="2145463478">
      <w:bodyDiv w:val="1"/>
      <w:marLeft w:val="0"/>
      <w:marRight w:val="0"/>
      <w:marTop w:val="0"/>
      <w:marBottom w:val="0"/>
      <w:divBdr>
        <w:top w:val="none" w:sz="0" w:space="0" w:color="auto"/>
        <w:left w:val="none" w:sz="0" w:space="0" w:color="auto"/>
        <w:bottom w:val="none" w:sz="0" w:space="0" w:color="auto"/>
        <w:right w:val="none" w:sz="0" w:space="0" w:color="auto"/>
      </w:divBdr>
    </w:div>
    <w:div w:id="214723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584980768@qq.com</dc:creator>
  <cp:keywords/>
  <dc:description/>
  <cp:lastModifiedBy>584980768@qq.com</cp:lastModifiedBy>
  <cp:revision>3</cp:revision>
  <dcterms:created xsi:type="dcterms:W3CDTF">2021-11-18T04:50:00Z</dcterms:created>
  <dcterms:modified xsi:type="dcterms:W3CDTF">2021-11-18T07:51:00Z</dcterms:modified>
</cp:coreProperties>
</file>