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4" w:tblpY="46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sz w:val="22"/>
              </w:rPr>
            </w:pPr>
            <w:r>
              <w:rPr>
                <w:b/>
                <w:sz w:val="24"/>
              </w:rPr>
              <w:t>3161</w:t>
            </w:r>
            <w:r>
              <w:rPr>
                <w:rFonts w:hint="eastAsia"/>
                <w:b/>
                <w:sz w:val="24"/>
              </w:rPr>
              <w:t>-6-N</w:t>
            </w:r>
            <w:r>
              <w:rPr>
                <w:b/>
                <w:sz w:val="24"/>
              </w:rPr>
              <w:t>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Plenary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3161 Working Group (DRS WG)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March 17th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Ningbo, China/</w:t>
            </w:r>
            <w:r>
              <w:rPr>
                <w:sz w:val="22"/>
              </w:rPr>
              <w:t>Virtual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 (Vice-Chair)</w:t>
            </w:r>
          </w:p>
        </w:tc>
      </w:tr>
    </w:tbl>
    <w:p>
      <w:pPr>
        <w:spacing w:before="156" w:beforeLines="50"/>
        <w:jc w:val="center"/>
        <w:rPr>
          <w:b/>
          <w:sz w:val="28"/>
        </w:rPr>
      </w:pPr>
      <w:r>
        <w:rPr>
          <w:b/>
          <w:sz w:val="28"/>
        </w:rPr>
        <w:t>Meeting Minutes</w:t>
      </w:r>
      <w:r>
        <w:rPr>
          <w:rFonts w:hint="eastAsia"/>
          <w:b/>
          <w:sz w:val="28"/>
        </w:rPr>
        <w:t xml:space="preserve"> of </w:t>
      </w:r>
      <w:r>
        <w:rPr>
          <w:b/>
          <w:sz w:val="28"/>
        </w:rPr>
        <w:t xml:space="preserve">the </w:t>
      </w:r>
      <w:r>
        <w:rPr>
          <w:rFonts w:hint="eastAsia"/>
          <w:b/>
          <w:sz w:val="28"/>
        </w:rPr>
        <w:t>6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3161 Working Group </w:t>
      </w:r>
      <w:r>
        <w:rPr>
          <w:rFonts w:hint="eastAsia"/>
          <w:b/>
          <w:sz w:val="28"/>
        </w:rPr>
        <w:t>Plenary</w:t>
      </w:r>
      <w:r>
        <w:rPr>
          <w:b/>
          <w:sz w:val="28"/>
        </w:rPr>
        <w:t xml:space="preserve"> Meeting</w:t>
      </w:r>
    </w:p>
    <w:p>
      <w:pPr>
        <w:spacing w:before="156" w:beforeLines="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i/>
          <w:sz w:val="24"/>
          <w:szCs w:val="24"/>
        </w:rPr>
        <w:t xml:space="preserve"> Minutes recorded by: M</w:t>
      </w:r>
      <w:r>
        <w:rPr>
          <w:rFonts w:hint="eastAsia"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 Zhengyuan Zhu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 xml:space="preserve"> (3161) Working Group plenary meeting </w:t>
      </w:r>
      <w:r>
        <w:rPr>
          <w:rFonts w:hint="eastAsia"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 xml:space="preserve">s held </w:t>
      </w:r>
      <w:r>
        <w:rPr>
          <w:rFonts w:hint="eastAsia" w:ascii="Times New Roman" w:hAnsi="Times New Roman"/>
          <w:sz w:val="24"/>
          <w:szCs w:val="24"/>
        </w:rPr>
        <w:t xml:space="preserve">in Ningbo, China and also </w:t>
      </w:r>
      <w:r>
        <w:rPr>
          <w:rFonts w:ascii="Times New Roman" w:hAnsi="Times New Roman"/>
          <w:sz w:val="24"/>
          <w:szCs w:val="24"/>
        </w:rPr>
        <w:t>via conference call</w:t>
      </w:r>
      <w:r>
        <w:rPr>
          <w:rFonts w:hint="eastAsia" w:ascii="Times New Roman" w:hAnsi="Times New Roman"/>
          <w:sz w:val="24"/>
          <w:szCs w:val="24"/>
        </w:rPr>
        <w:t xml:space="preserve">. </w:t>
      </w:r>
    </w:p>
    <w:p>
      <w:pPr>
        <w:spacing w:before="156" w:beforeLines="50" w:after="156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the Agenda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approve the meeting agenda. (Mover: M</w:t>
      </w:r>
      <w:r>
        <w:rPr>
          <w:rFonts w:hint="eastAsia"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Zhu</w:t>
      </w:r>
      <w:r>
        <w:rPr>
          <w:rFonts w:ascii="Times New Roman" w:hAnsi="Times New Roman"/>
          <w:sz w:val="24"/>
          <w:szCs w:val="24"/>
        </w:rPr>
        <w:t>; Second: Ms. Xinbei Bai). The agenda is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ent, Copyright, Individual Participant Behavior Policy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Xiaoxu Luan</w:t>
      </w:r>
      <w:r>
        <w:rPr>
          <w:rFonts w:ascii="Times New Roman" w:hAnsi="Times New Roman"/>
          <w:sz w:val="24"/>
          <w:szCs w:val="24"/>
        </w:rPr>
        <w:t xml:space="preserve"> presented the Patent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Copyright, and </w:t>
      </w:r>
      <w:r>
        <w:rPr>
          <w:rFonts w:hint="eastAsia" w:ascii="Times New Roman" w:hAnsi="Times New Roman"/>
          <w:sz w:val="24"/>
          <w:szCs w:val="24"/>
        </w:rPr>
        <w:t>Participant</w:t>
      </w:r>
      <w:r>
        <w:rPr>
          <w:rFonts w:ascii="Times New Roman" w:hAnsi="Times New Roman"/>
          <w:sz w:val="24"/>
          <w:szCs w:val="24"/>
        </w:rPr>
        <w:t xml:space="preserve"> Behavior slides at the meeting. There were no questions or concerns. All working group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Discussion on the plan of DRS serial standards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 to </w:t>
      </w:r>
      <w:r>
        <w:rPr>
          <w:rFonts w:hint="eastAsia" w:ascii="Times New Roman" w:hAnsi="Times New Roman"/>
          <w:sz w:val="24"/>
          <w:szCs w:val="24"/>
        </w:rPr>
        <w:t>discuss on the plan of DRS serial standards</w:t>
      </w:r>
      <w:r>
        <w:rPr>
          <w:rFonts w:ascii="Times New Roman" w:hAnsi="Times New Roman"/>
          <w:sz w:val="24"/>
          <w:szCs w:val="24"/>
        </w:rPr>
        <w:t xml:space="preserve"> (Mover: Ms. </w:t>
      </w:r>
      <w:r>
        <w:rPr>
          <w:rFonts w:hint="eastAsia" w:ascii="Times New Roman" w:hAnsi="Times New Roman"/>
          <w:sz w:val="24"/>
          <w:szCs w:val="24"/>
        </w:rPr>
        <w:t>Wen Ji</w:t>
      </w:r>
      <w:r>
        <w:rPr>
          <w:rFonts w:ascii="Times New Roman" w:hAnsi="Times New Roman"/>
          <w:sz w:val="24"/>
          <w:szCs w:val="24"/>
        </w:rPr>
        <w:t>; Second: M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Xinbei Bai). </w:t>
      </w:r>
      <w:r>
        <w:rPr>
          <w:rFonts w:hint="eastAsia"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was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the </w:t>
      </w:r>
      <w:r>
        <w:rPr>
          <w:rFonts w:hint="eastAsia" w:ascii="Times New Roman" w:hAnsi="Times New Roman"/>
          <w:b/>
          <w:sz w:val="24"/>
          <w:szCs w:val="24"/>
        </w:rPr>
        <w:t>technical contribution</w:t>
      </w:r>
      <w:r>
        <w:rPr>
          <w:rFonts w:ascii="Times New Roman" w:hAnsi="Times New Roman"/>
          <w:b/>
          <w:sz w:val="24"/>
          <w:szCs w:val="24"/>
        </w:rPr>
        <w:t xml:space="preserve"> of P3161</w:t>
      </w:r>
      <w:r>
        <w:rPr>
          <w:rFonts w:hint="eastAsia" w:ascii="Times New Roman" w:hAnsi="Times New Roman"/>
          <w:b/>
          <w:sz w:val="24"/>
          <w:szCs w:val="24"/>
        </w:rPr>
        <w:t>.9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</w:t>
      </w:r>
      <w:r>
        <w:rPr>
          <w:rFonts w:hint="eastAsia" w:ascii="Times New Roman" w:hAnsi="Times New Roman"/>
          <w:bCs/>
          <w:sz w:val="24"/>
          <w:szCs w:val="24"/>
        </w:rPr>
        <w:t>technical contribution</w:t>
      </w:r>
      <w:r>
        <w:rPr>
          <w:rFonts w:ascii="Times New Roman" w:hAnsi="Times New Roman"/>
          <w:bCs/>
          <w:sz w:val="24"/>
          <w:szCs w:val="24"/>
        </w:rPr>
        <w:t xml:space="preserve"> of P3161</w:t>
      </w:r>
      <w:r>
        <w:rPr>
          <w:rFonts w:hint="eastAsia" w:ascii="Times New Roman" w:hAnsi="Times New Roman"/>
          <w:bCs/>
          <w:sz w:val="24"/>
          <w:szCs w:val="24"/>
        </w:rPr>
        <w:t>.9</w:t>
      </w:r>
      <w:r>
        <w:rPr>
          <w:rFonts w:ascii="Times New Roman" w:hAnsi="Times New Roman"/>
          <w:bCs/>
          <w:sz w:val="24"/>
          <w:szCs w:val="24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 Xinbei Bai; Second: M</w:t>
      </w:r>
      <w:r>
        <w:rPr>
          <w:rFonts w:hint="eastAsia"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Zhengyuan Zhu</w:t>
      </w:r>
      <w:r>
        <w:rPr>
          <w:rFonts w:ascii="Times New Roman" w:hAnsi="Times New Roman"/>
          <w:bCs/>
          <w:sz w:val="24"/>
          <w:szCs w:val="24"/>
        </w:rPr>
        <w:t xml:space="preserve">). Ms. Xinbei Bai introduced the </w:t>
      </w:r>
      <w:r>
        <w:rPr>
          <w:rFonts w:hint="eastAsia" w:ascii="Times New Roman" w:hAnsi="Times New Roman"/>
          <w:bCs/>
          <w:sz w:val="24"/>
          <w:szCs w:val="24"/>
        </w:rPr>
        <w:t>technical contribution</w:t>
      </w:r>
      <w:r>
        <w:rPr>
          <w:rFonts w:ascii="Times New Roman" w:hAnsi="Times New Roman"/>
          <w:bCs/>
          <w:sz w:val="24"/>
          <w:szCs w:val="24"/>
        </w:rPr>
        <w:t>. Attendees fully discussed the contribution and reached the following consusens:</w:t>
      </w:r>
    </w:p>
    <w:p>
      <w:pPr>
        <w:spacing w:after="156" w:afterLine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It was rejected</w:t>
      </w:r>
      <w:r>
        <w:rPr>
          <w:rFonts w:ascii="Times New Roman" w:hAnsi="Times New Roman"/>
          <w:sz w:val="24"/>
          <w:szCs w:val="24"/>
        </w:rPr>
        <w:t xml:space="preserve"> on thi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meeting;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contributor need </w:t>
      </w:r>
      <w:r>
        <w:rPr>
          <w:rFonts w:hint="eastAsia"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update the </w:t>
      </w:r>
      <w:r>
        <w:rPr>
          <w:rFonts w:hint="eastAsia" w:ascii="Times New Roman" w:hAnsi="Times New Roman"/>
          <w:sz w:val="24"/>
          <w:szCs w:val="24"/>
        </w:rPr>
        <w:t>text and</w:t>
      </w:r>
      <w:r>
        <w:rPr>
          <w:rFonts w:ascii="Times New Roman" w:hAnsi="Times New Roman"/>
          <w:sz w:val="24"/>
          <w:szCs w:val="24"/>
        </w:rPr>
        <w:t xml:space="preserve"> resubmit on Ad-hoc meeting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P3161.2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</w:t>
      </w:r>
      <w:r>
        <w:rPr>
          <w:rFonts w:hint="eastAsia" w:ascii="Times New Roman" w:hAnsi="Times New Roman"/>
          <w:bCs/>
          <w:sz w:val="24"/>
          <w:szCs w:val="24"/>
        </w:rPr>
        <w:t xml:space="preserve"> Peng Chen</w:t>
      </w:r>
      <w:r>
        <w:rPr>
          <w:rFonts w:ascii="Times New Roman" w:hAnsi="Times New Roman"/>
          <w:bCs/>
          <w:sz w:val="24"/>
          <w:szCs w:val="24"/>
        </w:rPr>
        <w:t xml:space="preserve"> ; Second: Ms. Xinbei Bai). Mr. </w:t>
      </w:r>
      <w:r>
        <w:rPr>
          <w:rFonts w:hint="eastAsia" w:ascii="Times New Roman" w:hAnsi="Times New Roman"/>
          <w:bCs/>
          <w:sz w:val="24"/>
          <w:szCs w:val="24"/>
        </w:rPr>
        <w:t>Peng Chen</w:t>
      </w:r>
      <w:r>
        <w:rPr>
          <w:rFonts w:ascii="Times New Roman" w:hAnsi="Times New Roman"/>
          <w:bCs/>
          <w:sz w:val="24"/>
          <w:szCs w:val="24"/>
        </w:rPr>
        <w:t xml:space="preserve"> introduced the PAR. Attendees fully discussed the contribution and reached the following consusens:</w:t>
      </w:r>
    </w:p>
    <w:p>
      <w:pPr>
        <w:spacing w:after="156" w:afterLines="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It was rejected</w:t>
      </w:r>
      <w:r>
        <w:rPr>
          <w:rFonts w:ascii="Times New Roman" w:hAnsi="Times New Roman"/>
          <w:sz w:val="24"/>
          <w:szCs w:val="24"/>
        </w:rPr>
        <w:t xml:space="preserve"> on this meeting;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contributor need </w:t>
      </w:r>
      <w:r>
        <w:rPr>
          <w:rFonts w:hint="eastAsia"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update the </w:t>
      </w:r>
      <w:r>
        <w:rPr>
          <w:rFonts w:hint="eastAsia" w:ascii="Times New Roman" w:hAnsi="Times New Roman"/>
          <w:sz w:val="24"/>
          <w:szCs w:val="24"/>
        </w:rPr>
        <w:t>text and</w:t>
      </w:r>
      <w:r>
        <w:rPr>
          <w:rFonts w:ascii="Times New Roman" w:hAnsi="Times New Roman"/>
          <w:sz w:val="24"/>
          <w:szCs w:val="24"/>
        </w:rPr>
        <w:t xml:space="preserve"> resubmit on Ad-hoc meeting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P3161.8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 </w:t>
      </w:r>
      <w:r>
        <w:rPr>
          <w:rFonts w:hint="eastAsia" w:ascii="Times New Roman" w:hAnsi="Times New Roman"/>
          <w:bCs/>
          <w:sz w:val="24"/>
          <w:szCs w:val="24"/>
        </w:rPr>
        <w:t>Changyu Liu</w:t>
      </w:r>
      <w:r>
        <w:rPr>
          <w:rFonts w:ascii="Times New Roman" w:hAnsi="Times New Roman"/>
          <w:bCs/>
          <w:sz w:val="24"/>
          <w:szCs w:val="24"/>
        </w:rPr>
        <w:t xml:space="preserve">; Second: Ms. Xinbei Bai). Mr. </w:t>
      </w:r>
      <w:r>
        <w:rPr>
          <w:rFonts w:hint="eastAsia" w:ascii="Times New Roman" w:hAnsi="Times New Roman"/>
          <w:bCs/>
          <w:sz w:val="24"/>
          <w:szCs w:val="24"/>
        </w:rPr>
        <w:t>Changyu Liu</w:t>
      </w:r>
      <w:r>
        <w:rPr>
          <w:rFonts w:ascii="Times New Roman" w:hAnsi="Times New Roman"/>
          <w:bCs/>
          <w:sz w:val="24"/>
          <w:szCs w:val="24"/>
        </w:rPr>
        <w:t xml:space="preserve"> introduced the PAR. Attendees fully discussed the contribution and reached the following consusens:</w:t>
      </w:r>
    </w:p>
    <w:p>
      <w:pPr>
        <w:spacing w:after="156" w:afterLines="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It was rejected</w:t>
      </w:r>
      <w:r>
        <w:rPr>
          <w:rFonts w:ascii="Times New Roman" w:hAnsi="Times New Roman"/>
          <w:sz w:val="24"/>
          <w:szCs w:val="24"/>
        </w:rPr>
        <w:t xml:space="preserve"> on this meeting;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contributor need </w:t>
      </w:r>
      <w:r>
        <w:rPr>
          <w:rFonts w:hint="eastAsia"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update the </w:t>
      </w:r>
      <w:r>
        <w:rPr>
          <w:rFonts w:hint="eastAsia" w:ascii="Times New Roman" w:hAnsi="Times New Roman"/>
          <w:sz w:val="24"/>
          <w:szCs w:val="24"/>
        </w:rPr>
        <w:t>text and</w:t>
      </w:r>
      <w:r>
        <w:rPr>
          <w:rFonts w:ascii="Times New Roman" w:hAnsi="Times New Roman"/>
          <w:sz w:val="24"/>
          <w:szCs w:val="24"/>
        </w:rPr>
        <w:t xml:space="preserve"> resubmit on Ad-hoc meeting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Discussion on the future work of the interoperable feature coding for DRS</w:t>
      </w:r>
    </w:p>
    <w:p>
      <w:pPr>
        <w:spacing w:after="240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>
        <w:rPr>
          <w:rFonts w:hint="eastAsia" w:ascii="Times New Roman" w:hAnsi="Times New Roman"/>
          <w:bCs/>
          <w:sz w:val="24"/>
          <w:szCs w:val="24"/>
        </w:rPr>
        <w:t xml:space="preserve">Lingyu Duan </w:t>
      </w:r>
      <w:r>
        <w:rPr>
          <w:rFonts w:ascii="Times New Roman" w:hAnsi="Times New Roman"/>
          <w:bCs/>
          <w:sz w:val="24"/>
          <w:szCs w:val="24"/>
        </w:rPr>
        <w:t>gave an brief introduction of the the interoperable feature coding.</w:t>
      </w:r>
      <w:r>
        <w:rPr>
          <w:rFonts w:hint="eastAsia"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Attendees fully discussed the </w:t>
      </w:r>
      <w:r>
        <w:rPr>
          <w:rFonts w:hint="eastAsia" w:ascii="Times New Roman" w:hAnsi="Times New Roman"/>
          <w:bCs/>
          <w:sz w:val="24"/>
          <w:szCs w:val="24"/>
        </w:rPr>
        <w:t>topic</w:t>
      </w:r>
      <w:r>
        <w:rPr>
          <w:rFonts w:ascii="Times New Roman" w:hAnsi="Times New Roman"/>
          <w:bCs/>
          <w:sz w:val="24"/>
          <w:szCs w:val="24"/>
        </w:rPr>
        <w:t xml:space="preserve"> and recommend to submit an official request of </w:t>
      </w:r>
      <w:r>
        <w:rPr>
          <w:rFonts w:hint="eastAsia" w:ascii="Times New Roman" w:hAnsi="Times New Roman"/>
          <w:bCs/>
          <w:sz w:val="24"/>
          <w:szCs w:val="24"/>
        </w:rPr>
        <w:t>study group at next meeting.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hint="eastAsia" w:ascii="Times New Roman" w:hAnsi="Times New Roman"/>
          <w:sz w:val="24"/>
          <w:szCs w:val="24"/>
        </w:rPr>
        <w:t xml:space="preserve">n ad-hoc </w:t>
      </w:r>
      <w:r>
        <w:rPr>
          <w:rFonts w:ascii="Times New Roman" w:hAnsi="Times New Roman"/>
          <w:sz w:val="24"/>
          <w:szCs w:val="24"/>
        </w:rPr>
        <w:t xml:space="preserve">meeting is tentatively scheduled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</w:rPr>
        <w:t>the next week. The</w:t>
      </w:r>
      <w:r>
        <w:rPr>
          <w:rFonts w:ascii="Times New Roman" w:hAnsi="Times New Roman"/>
          <w:sz w:val="24"/>
          <w:szCs w:val="24"/>
        </w:rPr>
        <w:t xml:space="preserve"> next </w:t>
      </w:r>
      <w:r>
        <w:rPr>
          <w:rFonts w:hint="eastAsia" w:ascii="Times New Roman" w:hAnsi="Times New Roman"/>
          <w:sz w:val="24"/>
          <w:szCs w:val="24"/>
        </w:rPr>
        <w:t>plenary session</w:t>
      </w:r>
      <w:r>
        <w:rPr>
          <w:rFonts w:ascii="Times New Roman" w:hAnsi="Times New Roman"/>
          <w:sz w:val="24"/>
          <w:szCs w:val="24"/>
        </w:rPr>
        <w:t xml:space="preserve"> is scheduled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The Meeting notice will be posted on our official website one month in advance. Remote attendees can request </w:t>
      </w:r>
      <w:r>
        <w:rPr>
          <w:rFonts w:hint="eastAsia" w:ascii="Times New Roman" w:hAnsi="Times New Roman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a teleconference</w:t>
      </w:r>
      <w:r>
        <w:rPr>
          <w:rFonts w:hint="eastAsia" w:ascii="Times New Roman" w:hAnsi="Times New Roman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minutes was approved by all attendees. The meeting closed at 1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hint="eastAsia" w:ascii="Times New Roman" w:hAnsi="Times New Roman"/>
          <w:sz w:val="24"/>
          <w:szCs w:val="24"/>
        </w:rPr>
        <w:t>March 17th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/>
        </w:rPr>
        <w:t>A</w:t>
      </w:r>
      <w:r>
        <w:t>nnex 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IEEE C/DC 3161 Working Group Plenary Meeting Agend</w:t>
      </w:r>
      <w:r>
        <w:rPr>
          <w:rFonts w:hint="eastAsia"/>
          <w:b/>
          <w:sz w:val="28"/>
          <w:szCs w:val="28"/>
        </w:rPr>
        <w:t>a</w:t>
      </w:r>
    </w:p>
    <w:tbl>
      <w:tblPr>
        <w:tblStyle w:val="4"/>
        <w:tblpPr w:leftFromText="180" w:rightFromText="180" w:vertAnchor="page" w:horzAnchor="margin" w:tblpY="2688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610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vAlign w:val="center"/>
          </w:tcPr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March 17th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from 10:30 Beijing Time</w:t>
            </w:r>
          </w:p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rFonts w:hint="eastAsia"/>
                <w:sz w:val="22"/>
              </w:rPr>
              <w:t>Dongnanhu Hall, Yangguang Haosheng Hotel, Ningbo, China/</w:t>
            </w:r>
            <w:r>
              <w:rPr>
                <w:sz w:val="22"/>
              </w:rPr>
              <w:t>Virtual conference via Tencent Meeting</w:t>
            </w:r>
          </w:p>
          <w:p>
            <w:pPr>
              <w:ind w:left="773" w:hanging="773" w:hangingChars="350"/>
              <w:jc w:val="left"/>
              <w:rPr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ID: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542-7305-5885</w:t>
            </w:r>
          </w:p>
          <w:p>
            <w:pPr>
              <w:ind w:left="773" w:hanging="773" w:hangingChars="350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PW: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9880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8" w:type="pct"/>
            <w:vAlign w:val="center"/>
          </w:tcPr>
          <w:p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8" w:type="pct"/>
            <w:vAlign w:val="center"/>
          </w:tcPr>
          <w:p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 </w:t>
            </w:r>
            <w:r>
              <w:t xml:space="preserve">and </w:t>
            </w:r>
            <w:r>
              <w:rPr>
                <w:rFonts w:hint="eastAsia"/>
              </w:rPr>
              <w:t>c</w:t>
            </w:r>
            <w:r>
              <w:t xml:space="preserve">opyright </w:t>
            </w:r>
            <w:r>
              <w:rPr>
                <w:rFonts w:hint="eastAsia"/>
              </w:rPr>
              <w:t>policy statement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18" w:type="pct"/>
            <w:vAlign w:val="center"/>
          </w:tcPr>
          <w:p>
            <w:r>
              <w:rPr>
                <w:rFonts w:hint="eastAsia"/>
              </w:rPr>
              <w:t>Individual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articipant Behavior Policy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t>4</w:t>
            </w:r>
          </w:p>
        </w:tc>
        <w:tc>
          <w:tcPr>
            <w:tcW w:w="3618" w:type="pct"/>
            <w:vAlign w:val="center"/>
          </w:tcPr>
          <w:p>
            <w:r>
              <w:rPr>
                <w:rFonts w:hint="eastAsia"/>
              </w:rPr>
              <w:t>Discussion on the plan of DRS serial standards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Xinbei 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18" w:type="pct"/>
            <w:vAlign w:val="center"/>
          </w:tcPr>
          <w:p>
            <w:r>
              <w:t xml:space="preserve">Approval of the </w:t>
            </w:r>
            <w:r>
              <w:rPr>
                <w:rFonts w:hint="eastAsia"/>
              </w:rPr>
              <w:t>technical contribution</w:t>
            </w:r>
            <w:r>
              <w:t xml:space="preserve"> of P3161</w:t>
            </w:r>
            <w:r>
              <w:rPr>
                <w:rFonts w:hint="eastAsia"/>
              </w:rPr>
              <w:t>.9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Xinbei 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18" w:type="pct"/>
            <w:vAlign w:val="center"/>
          </w:tcPr>
          <w:p>
            <w:r>
              <w:t>Approval of the new PAR</w:t>
            </w:r>
            <w:r>
              <w:rPr>
                <w:rFonts w:hint="eastAsia"/>
              </w:rPr>
              <w:t xml:space="preserve"> of P3161.2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Peng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18" w:type="pct"/>
            <w:vAlign w:val="center"/>
          </w:tcPr>
          <w:p>
            <w:r>
              <w:t>Approval of the new PAR</w:t>
            </w:r>
            <w:r>
              <w:rPr>
                <w:rFonts w:hint="eastAsia"/>
              </w:rPr>
              <w:t xml:space="preserve"> of P3161.8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Changyu 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18" w:type="pct"/>
            <w:vAlign w:val="center"/>
          </w:tcPr>
          <w:p>
            <w:r>
              <w:rPr>
                <w:rFonts w:hint="eastAsia"/>
              </w:rPr>
              <w:t>Discussion on the future work of the interoperable feature coding for DRS</w:t>
            </w:r>
          </w:p>
        </w:tc>
        <w:tc>
          <w:tcPr>
            <w:tcW w:w="1120" w:type="pct"/>
            <w:vAlign w:val="center"/>
          </w:tcPr>
          <w:p>
            <w:r>
              <w:rPr>
                <w:rFonts w:hint="eastAsia"/>
              </w:rPr>
              <w:t>Lingyu Duan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18" w:type="pct"/>
            <w:vAlign w:val="center"/>
          </w:tcPr>
          <w:p>
            <w:r>
              <w:t>Approval of Meeting Minutes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18" w:type="pct"/>
            <w:vAlign w:val="center"/>
          </w:tcPr>
          <w:p>
            <w:r>
              <w:t>Next Meeting</w:t>
            </w:r>
          </w:p>
        </w:tc>
        <w:tc>
          <w:tcPr>
            <w:tcW w:w="1120" w:type="pct"/>
            <w:vAlign w:val="center"/>
          </w:tcPr>
          <w:p>
            <w:r>
              <w:t>Wen Ji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ind w:firstLine="420" w:firstLineChars="200"/>
      </w:pPr>
      <w:r>
        <w:rPr>
          <w:rFonts w:hint="eastAsia"/>
        </w:rPr>
        <w:t>A</w:t>
      </w:r>
      <w:r>
        <w:t xml:space="preserve">nnex 2 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Atte</w:t>
      </w:r>
      <w:r>
        <w:rPr>
          <w:sz w:val="32"/>
          <w:szCs w:val="32"/>
        </w:rPr>
        <w:t xml:space="preserve">ndance List of the 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3161 WG Plenary Meeting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50"/>
        <w:gridCol w:w="887"/>
        <w:gridCol w:w="3081"/>
        <w:gridCol w:w="1268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Role Legend</w:t>
            </w:r>
          </w:p>
        </w:tc>
        <w:tc>
          <w:tcPr>
            <w:tcW w:w="7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V = Voting Member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P = Non-voting Member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O = Non-Member/Observer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Roster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Date (3/16/23)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Ningbo/Hybrid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Quroum -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Yaowei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Chair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Wenwu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Tsinghua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Luan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Xiaoxu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Secretary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Bai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Xinbei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Feng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Hangzhou Hikvision Digital Technology Co., Ltd.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Hongyu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AIIT, Peking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Ding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Shuna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PowerLeader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Feng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Dong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Qingdao Turing Technology Co., Ltd.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Gao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Xuesong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Yahong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Tianjin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Hou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Kui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Dieli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Dongmei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Song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Beijing Vion Technology,inc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Lan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Cloudwalk Technology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21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Mingxuan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Thomas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Peking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Pan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Liao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Danping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Changyu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ShuJun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Beijing Boya RealScene Technologies Co., Ltd.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Haitao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Tencent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Jianran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Mei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Jingqing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Beijing Kuangshi Technology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Ren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Wenqi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Hikvision research insititute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Shao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Bo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Northwestern Polytechnical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TDTech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Shenzhen International Graduate School, Tsinghua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Xiao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Megvii Technology Limited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Hanyue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University of Science and Technology of China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Shenzhen International Graduate School, Tsinghua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Weizhi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Infinova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Wu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Zebin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Zheming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Southeast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Yin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Huiqing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National Engineering Research Center of Digital Television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Yin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Liqun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Cambricon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Yuan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Jinyu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Dongqing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Technology, Peking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Shiliang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Peking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Technology, Peking University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Xuqiang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Chunhao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Yitu Technology Co., Ltd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Haojie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Shenzhen Intellifusion Technologies Co., Ltd.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Meng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IEEE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Bo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Tianjin University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Wei-Shi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Sun Yat-sen University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Yuanyuan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Hangzhou Hikvision Digital Technology Co., Ltd.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Zhou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Yunhong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Zhou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Chaoyong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Ping An Technology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Zuo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Lulu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Technology，Chinese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Zhengyuan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Kong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Weisheng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Zhejiang Dahua Technology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Hao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Qingdao Turing Technology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Yalan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Huawei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Song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Beijing Vion Technology,inc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Mingxuan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Zuo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Lulu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Computer Technology，Chinese Academy of Sciences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pStyle w:val="11"/>
      <w:jc w:val="both"/>
    </w:pPr>
    <w:r>
      <w:rPr>
        <w:rFonts w:hint="eastAsia"/>
      </w:rPr>
      <w:drawing>
        <wp:inline distT="0" distB="0" distL="0" distR="0">
          <wp:extent cx="1344295" cy="342900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https://sagroups.ieee.org/3161/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F2CCB"/>
    <w:multiLevelType w:val="multilevel"/>
    <w:tmpl w:val="3FCF2C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3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14CE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C6EE4"/>
    <w:rsid w:val="001D30CE"/>
    <w:rsid w:val="001E5576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355"/>
    <w:rsid w:val="00253DCD"/>
    <w:rsid w:val="00257A8B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57A1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1D24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56348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B733D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1460"/>
    <w:rsid w:val="00455151"/>
    <w:rsid w:val="004621E0"/>
    <w:rsid w:val="004651DA"/>
    <w:rsid w:val="00471A71"/>
    <w:rsid w:val="0047536C"/>
    <w:rsid w:val="0047777F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B5A2C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19C7"/>
    <w:rsid w:val="005C4904"/>
    <w:rsid w:val="005C677D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85C15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49B8"/>
    <w:rsid w:val="007374FE"/>
    <w:rsid w:val="00737B7E"/>
    <w:rsid w:val="00740423"/>
    <w:rsid w:val="0075117B"/>
    <w:rsid w:val="007535A1"/>
    <w:rsid w:val="00755593"/>
    <w:rsid w:val="00766EFB"/>
    <w:rsid w:val="007756BE"/>
    <w:rsid w:val="0078427A"/>
    <w:rsid w:val="00786838"/>
    <w:rsid w:val="007943FE"/>
    <w:rsid w:val="00797BFF"/>
    <w:rsid w:val="007A0FD4"/>
    <w:rsid w:val="007A267F"/>
    <w:rsid w:val="007A6E72"/>
    <w:rsid w:val="007B21D1"/>
    <w:rsid w:val="007B26C2"/>
    <w:rsid w:val="007C1288"/>
    <w:rsid w:val="007C29FF"/>
    <w:rsid w:val="007C2C8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44E4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3442"/>
    <w:rsid w:val="009467FD"/>
    <w:rsid w:val="00951F53"/>
    <w:rsid w:val="00953BA9"/>
    <w:rsid w:val="0096063D"/>
    <w:rsid w:val="00974965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C0573"/>
    <w:rsid w:val="009D1735"/>
    <w:rsid w:val="009D31A2"/>
    <w:rsid w:val="009D47B7"/>
    <w:rsid w:val="009E03D9"/>
    <w:rsid w:val="009E6B41"/>
    <w:rsid w:val="009E7346"/>
    <w:rsid w:val="009F14B0"/>
    <w:rsid w:val="009F371C"/>
    <w:rsid w:val="009F6387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639F"/>
    <w:rsid w:val="00AA7F9E"/>
    <w:rsid w:val="00AB3BFD"/>
    <w:rsid w:val="00AB740B"/>
    <w:rsid w:val="00AD0682"/>
    <w:rsid w:val="00AD67C5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0E23"/>
    <w:rsid w:val="00C13407"/>
    <w:rsid w:val="00C151C7"/>
    <w:rsid w:val="00C202F7"/>
    <w:rsid w:val="00C252CA"/>
    <w:rsid w:val="00C25983"/>
    <w:rsid w:val="00C31BF6"/>
    <w:rsid w:val="00C33E81"/>
    <w:rsid w:val="00C443DF"/>
    <w:rsid w:val="00C450E1"/>
    <w:rsid w:val="00C517B5"/>
    <w:rsid w:val="00C55986"/>
    <w:rsid w:val="00C701ED"/>
    <w:rsid w:val="00C72E31"/>
    <w:rsid w:val="00C75185"/>
    <w:rsid w:val="00C8518C"/>
    <w:rsid w:val="00C92D3E"/>
    <w:rsid w:val="00C92D4C"/>
    <w:rsid w:val="00C9420E"/>
    <w:rsid w:val="00C947A7"/>
    <w:rsid w:val="00C9507A"/>
    <w:rsid w:val="00C957CC"/>
    <w:rsid w:val="00CA2796"/>
    <w:rsid w:val="00CA2EB2"/>
    <w:rsid w:val="00CA4EC6"/>
    <w:rsid w:val="00CA6789"/>
    <w:rsid w:val="00CD1013"/>
    <w:rsid w:val="00CD3574"/>
    <w:rsid w:val="00CE3613"/>
    <w:rsid w:val="00CF0E0C"/>
    <w:rsid w:val="00D00C47"/>
    <w:rsid w:val="00D10F6B"/>
    <w:rsid w:val="00D13BB6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634E"/>
    <w:rsid w:val="00E17556"/>
    <w:rsid w:val="00E20660"/>
    <w:rsid w:val="00E213EF"/>
    <w:rsid w:val="00E32B14"/>
    <w:rsid w:val="00E33575"/>
    <w:rsid w:val="00E52B94"/>
    <w:rsid w:val="00E54979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5ACD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00FF3614"/>
    <w:rsid w:val="0312048D"/>
    <w:rsid w:val="0D2F2B62"/>
    <w:rsid w:val="14C62170"/>
    <w:rsid w:val="1ECD010D"/>
    <w:rsid w:val="23FF45FA"/>
    <w:rsid w:val="2568762F"/>
    <w:rsid w:val="2A6B15FA"/>
    <w:rsid w:val="34637732"/>
    <w:rsid w:val="385202A3"/>
    <w:rsid w:val="390567C1"/>
    <w:rsid w:val="39D07461"/>
    <w:rsid w:val="41706281"/>
    <w:rsid w:val="4372616A"/>
    <w:rsid w:val="4B502367"/>
    <w:rsid w:val="4E5B457B"/>
    <w:rsid w:val="52B7540F"/>
    <w:rsid w:val="5EB44563"/>
    <w:rsid w:val="63B30903"/>
    <w:rsid w:val="693E3FB9"/>
    <w:rsid w:val="6AD35777"/>
    <w:rsid w:val="767D33C4"/>
    <w:rsid w:val="767DF92B"/>
    <w:rsid w:val="7B0F665E"/>
    <w:rsid w:val="DDFBB456"/>
    <w:rsid w:val="FF3B6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link w:val="11"/>
    <w:qFormat/>
    <w:uiPriority w:val="99"/>
    <w:rPr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HTML 预设格式 字符"/>
    <w:link w:val="12"/>
    <w:semiHidden/>
    <w:qFormat/>
    <w:uiPriority w:val="99"/>
    <w:rPr>
      <w:rFonts w:ascii="宋体" w:hAnsi="宋体" w:cs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表 1 浅色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7">
    <w:name w:val="批注文字 字符"/>
    <w:basedOn w:val="3"/>
    <w:link w:val="7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9">
    <w:name w:val="font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5986</Characters>
  <Lines>49</Lines>
  <Paragraphs>14</Paragraphs>
  <TotalTime>1</TotalTime>
  <ScaleCrop>false</ScaleCrop>
  <LinksUpToDate>false</LinksUpToDate>
  <CharactersWithSpaces>7022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2023-03-17T03:56:00Z</dcterms:created>
  <dc:creator>xhy</dc:creator>
  <cp:lastModifiedBy>Zhengyuan</cp:lastModifiedBy>
  <dcterms:modified xsi:type="dcterms:W3CDTF">2023-04-20T09:45:19Z</dcterms:modified>
  <dc:title>https://sagroups.ieee.org/dcsc/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BB166C7CEA58416E9B2DB29058899597</vt:lpwstr>
  </property>
  <property fmtid="{D5CDD505-2E9C-101B-9397-08002B2CF9AE}" pid="4" name="GrammarlyDocumentId">
    <vt:lpwstr>8fa146dc3f1581f14343c6e18fa08c4601de91e27341f188a6df01b29592ce53</vt:lpwstr>
  </property>
</Properties>
</file>