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4B50" w14:textId="09B5F36B" w:rsidR="002A0940" w:rsidRDefault="00CD682C" w:rsidP="009A01F6">
      <w:pPr>
        <w:pStyle w:val="Heading1"/>
      </w:pPr>
      <w:r>
        <w:t>20</w:t>
      </w:r>
      <w:r w:rsidR="00A63E88">
        <w:t>20</w:t>
      </w:r>
      <w:r w:rsidR="005E4466">
        <w:t xml:space="preserve"> </w:t>
      </w:r>
      <w:r w:rsidR="001A2CA1">
        <w:t>GM</w:t>
      </w:r>
      <w:r w:rsidR="002468BA">
        <w:t xml:space="preserve"> Meeting</w:t>
      </w:r>
      <w:r w:rsidR="009A01F6">
        <w:t xml:space="preserve"> </w:t>
      </w:r>
      <w:proofErr w:type="gramStart"/>
      <w:r w:rsidR="008A3987">
        <w:t>Minutes</w:t>
      </w:r>
      <w:r w:rsidR="002468BA">
        <w:t xml:space="preserve"> </w:t>
      </w:r>
      <w:r w:rsidR="005E4466">
        <w:t xml:space="preserve"> –</w:t>
      </w:r>
      <w:proofErr w:type="gramEnd"/>
      <w:r w:rsidR="005E4466">
        <w:t xml:space="preserve"> Harmonics WG (519)</w:t>
      </w:r>
    </w:p>
    <w:p w14:paraId="5772FE26" w14:textId="77777777" w:rsidR="009A01F6" w:rsidRDefault="009A01F6" w:rsidP="009A01F6">
      <w:pPr>
        <w:pStyle w:val="Heading2"/>
      </w:pPr>
      <w:r>
        <w:t>Meeting Location and Time</w:t>
      </w:r>
    </w:p>
    <w:p w14:paraId="718CD995" w14:textId="305F298C" w:rsidR="00884BA2" w:rsidRDefault="008F3040" w:rsidP="00884BA2">
      <w:proofErr w:type="spellStart"/>
      <w:r>
        <w:t>Webex</w:t>
      </w:r>
      <w:proofErr w:type="spellEnd"/>
      <w:r>
        <w:t xml:space="preserve"> - Remote</w:t>
      </w:r>
    </w:p>
    <w:p w14:paraId="43842AE8" w14:textId="08815D81" w:rsidR="00884BA2" w:rsidRDefault="00884BA2" w:rsidP="00884BA2">
      <w:r>
        <w:t>20</w:t>
      </w:r>
      <w:r w:rsidR="00661861">
        <w:t>20</w:t>
      </w:r>
      <w:r>
        <w:t xml:space="preserve"> </w:t>
      </w:r>
      <w:r w:rsidR="001A2CA1">
        <w:t>August 12</w:t>
      </w:r>
      <w:r>
        <w:br/>
      </w:r>
      <w:r w:rsidR="001A2CA1">
        <w:t>2</w:t>
      </w:r>
      <w:r>
        <w:t xml:space="preserve"> </w:t>
      </w:r>
      <w:r w:rsidR="001A2CA1">
        <w:t>PM</w:t>
      </w:r>
      <w:r>
        <w:t xml:space="preserve"> – </w:t>
      </w:r>
      <w:r w:rsidR="001A2CA1">
        <w:t>3</w:t>
      </w:r>
      <w:r w:rsidR="00BA6DB3">
        <w:t xml:space="preserve"> </w:t>
      </w:r>
      <w:r w:rsidR="001A2CA1">
        <w:t>PM EST</w:t>
      </w:r>
    </w:p>
    <w:p w14:paraId="406ED0D6" w14:textId="77777777" w:rsidR="00B71343" w:rsidRDefault="002B48B1" w:rsidP="00B71343">
      <w:pPr>
        <w:pStyle w:val="Heading2"/>
      </w:pPr>
      <w:r>
        <w:t>MEEting Minutes</w:t>
      </w:r>
    </w:p>
    <w:p w14:paraId="764E7150" w14:textId="77777777" w:rsidR="002B48B1" w:rsidRDefault="002B48B1" w:rsidP="002B48B1">
      <w:pPr>
        <w:pStyle w:val="Heading3"/>
      </w:pPr>
      <w:r>
        <w:t>Attendees</w:t>
      </w:r>
    </w:p>
    <w:p w14:paraId="3A5E0685" w14:textId="077A37DE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David </w:t>
      </w:r>
      <w:proofErr w:type="spellStart"/>
      <w:r w:rsidRPr="00182FC2">
        <w:rPr>
          <w:sz w:val="22"/>
          <w:szCs w:val="22"/>
        </w:rPr>
        <w:t>Zech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Julio Barros</w:t>
      </w:r>
    </w:p>
    <w:p w14:paraId="442CEAEB" w14:textId="75A6F7EE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Chester Li</w:t>
      </w:r>
    </w:p>
    <w:p w14:paraId="0A3D019B" w14:textId="33108AE8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Mark </w:t>
      </w:r>
      <w:proofErr w:type="spellStart"/>
      <w:r w:rsidRPr="00182FC2">
        <w:rPr>
          <w:sz w:val="22"/>
          <w:szCs w:val="22"/>
        </w:rPr>
        <w:t>Halpin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Eugene Song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</w:p>
    <w:p w14:paraId="61734EAE" w14:textId="3F981483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>Marlin Browning</w:t>
      </w:r>
    </w:p>
    <w:p w14:paraId="1F9E4BF8" w14:textId="07FC82DF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344">
        <w:rPr>
          <w:sz w:val="22"/>
          <w:szCs w:val="22"/>
        </w:rPr>
        <w:t xml:space="preserve">Theo </w:t>
      </w:r>
      <w:proofErr w:type="spellStart"/>
      <w:r w:rsidR="004E7344">
        <w:rPr>
          <w:sz w:val="22"/>
          <w:szCs w:val="22"/>
        </w:rPr>
        <w:t>Laughner</w:t>
      </w:r>
      <w:proofErr w:type="spellEnd"/>
    </w:p>
    <w:p w14:paraId="16D52C02" w14:textId="6A50D64A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Joe </w:t>
      </w:r>
      <w:proofErr w:type="spellStart"/>
      <w:r w:rsidRPr="00182FC2">
        <w:rPr>
          <w:sz w:val="22"/>
          <w:szCs w:val="22"/>
        </w:rPr>
        <w:t>Grappe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E7344">
        <w:rPr>
          <w:sz w:val="22"/>
          <w:szCs w:val="22"/>
        </w:rPr>
        <w:t>Francisc</w:t>
      </w:r>
      <w:proofErr w:type="spellEnd"/>
      <w:r w:rsidR="004E7344">
        <w:rPr>
          <w:sz w:val="22"/>
          <w:szCs w:val="22"/>
        </w:rPr>
        <w:t xml:space="preserve"> </w:t>
      </w:r>
      <w:proofErr w:type="spellStart"/>
      <w:r w:rsidR="004E7344">
        <w:rPr>
          <w:sz w:val="22"/>
          <w:szCs w:val="22"/>
        </w:rPr>
        <w:t>Zavoda</w:t>
      </w:r>
      <w:proofErr w:type="spellEnd"/>
    </w:p>
    <w:p w14:paraId="0B060413" w14:textId="33843DFC" w:rsidR="00182FC2" w:rsidRDefault="00D254BD" w:rsidP="00182FC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="007E489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4E7344">
        <w:rPr>
          <w:sz w:val="22"/>
          <w:szCs w:val="22"/>
        </w:rPr>
        <w:t>Jan Meyer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676439" w14:textId="20228689" w:rsidR="000E4324" w:rsidRDefault="000E4324" w:rsidP="004E7344">
      <w:pPr>
        <w:tabs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Marlin Browning</w:t>
      </w:r>
      <w:r w:rsidR="004E7344">
        <w:rPr>
          <w:sz w:val="22"/>
          <w:szCs w:val="22"/>
        </w:rPr>
        <w:tab/>
        <w:t xml:space="preserve">                                    </w:t>
      </w:r>
      <w:proofErr w:type="spellStart"/>
      <w:r w:rsidR="004E7344">
        <w:rPr>
          <w:sz w:val="22"/>
          <w:szCs w:val="22"/>
        </w:rPr>
        <w:t>Alkesh</w:t>
      </w:r>
      <w:proofErr w:type="spellEnd"/>
      <w:r w:rsidR="004E7344">
        <w:rPr>
          <w:sz w:val="22"/>
          <w:szCs w:val="22"/>
        </w:rPr>
        <w:t xml:space="preserve"> Patel</w:t>
      </w:r>
    </w:p>
    <w:p w14:paraId="57E93981" w14:textId="29627D9E" w:rsidR="000E4324" w:rsidRDefault="009379B6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Harish Sharma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6641">
        <w:rPr>
          <w:sz w:val="22"/>
          <w:szCs w:val="22"/>
        </w:rPr>
        <w:t xml:space="preserve">Ali </w:t>
      </w:r>
      <w:proofErr w:type="spellStart"/>
      <w:r w:rsidR="00BD6641">
        <w:rPr>
          <w:sz w:val="22"/>
          <w:szCs w:val="22"/>
        </w:rPr>
        <w:t>Arzani</w:t>
      </w:r>
      <w:proofErr w:type="spellEnd"/>
    </w:p>
    <w:p w14:paraId="294FF46A" w14:textId="21557423" w:rsidR="009379B6" w:rsidRDefault="009E4CA4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Marty Page</w:t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  <w:t>Randy Collins</w:t>
      </w:r>
    </w:p>
    <w:p w14:paraId="145F5729" w14:textId="0AE1FA05" w:rsidR="00C437A7" w:rsidRDefault="00C437A7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Math </w:t>
      </w:r>
      <w:proofErr w:type="spellStart"/>
      <w:r>
        <w:rPr>
          <w:sz w:val="22"/>
          <w:szCs w:val="22"/>
        </w:rPr>
        <w:t>Bollen</w:t>
      </w:r>
      <w:proofErr w:type="spellEnd"/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  <w:t>Kang Lee</w:t>
      </w:r>
    </w:p>
    <w:p w14:paraId="1A414C6A" w14:textId="145E6461" w:rsidR="00BD6641" w:rsidRDefault="00BD6641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David Mueller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Surya </w:t>
      </w:r>
      <w:proofErr w:type="spellStart"/>
      <w:r>
        <w:rPr>
          <w:sz w:val="22"/>
          <w:szCs w:val="22"/>
        </w:rPr>
        <w:t>Santoso</w:t>
      </w:r>
      <w:proofErr w:type="spellEnd"/>
    </w:p>
    <w:p w14:paraId="043DA46D" w14:textId="2F82881D" w:rsidR="00BD6641" w:rsidRDefault="00BD6641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Grazia</w:t>
      </w:r>
      <w:proofErr w:type="spellEnd"/>
      <w:r>
        <w:rPr>
          <w:sz w:val="22"/>
          <w:szCs w:val="22"/>
        </w:rPr>
        <w:t xml:space="preserve"> Todeschini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Nikunj</w:t>
      </w:r>
      <w:proofErr w:type="spellEnd"/>
      <w:r>
        <w:rPr>
          <w:sz w:val="22"/>
          <w:szCs w:val="22"/>
        </w:rPr>
        <w:t xml:space="preserve"> Shah</w:t>
      </w:r>
    </w:p>
    <w:p w14:paraId="3DAC92BB" w14:textId="63300256" w:rsidR="00BD6641" w:rsidRDefault="00BD6641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Sedziol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 Halpin</w:t>
      </w:r>
      <w:bookmarkStart w:id="0" w:name="_GoBack"/>
      <w:bookmarkEnd w:id="0"/>
    </w:p>
    <w:p w14:paraId="7B604538" w14:textId="77777777" w:rsidR="009379B6" w:rsidRDefault="009379B6" w:rsidP="000E4324">
      <w:pPr>
        <w:spacing w:before="0" w:after="0" w:line="240" w:lineRule="auto"/>
        <w:rPr>
          <w:sz w:val="22"/>
          <w:szCs w:val="22"/>
        </w:rPr>
      </w:pPr>
    </w:p>
    <w:p w14:paraId="374C76D2" w14:textId="0201C6C2" w:rsidR="002B48B1" w:rsidRPr="00182FC2" w:rsidRDefault="002B48B1" w:rsidP="002B48B1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The meeting was called to order by </w:t>
      </w:r>
      <w:r w:rsidR="007A792E" w:rsidRPr="00182FC2">
        <w:rPr>
          <w:sz w:val="22"/>
          <w:szCs w:val="22"/>
        </w:rPr>
        <w:t xml:space="preserve">David </w:t>
      </w:r>
      <w:proofErr w:type="spellStart"/>
      <w:r w:rsidR="007A792E" w:rsidRPr="00182FC2">
        <w:rPr>
          <w:sz w:val="22"/>
          <w:szCs w:val="22"/>
        </w:rPr>
        <w:t>Zech</w:t>
      </w:r>
      <w:proofErr w:type="spellEnd"/>
      <w:r w:rsidR="00B011CF" w:rsidRPr="00182FC2">
        <w:rPr>
          <w:sz w:val="22"/>
          <w:szCs w:val="22"/>
        </w:rPr>
        <w:t xml:space="preserve"> at</w:t>
      </w:r>
      <w:r w:rsidR="00BA6DB3">
        <w:rPr>
          <w:sz w:val="22"/>
          <w:szCs w:val="22"/>
        </w:rPr>
        <w:t xml:space="preserve"> </w:t>
      </w:r>
      <w:r w:rsidR="001A2CA1">
        <w:rPr>
          <w:sz w:val="22"/>
          <w:szCs w:val="22"/>
        </w:rPr>
        <w:t>2pm</w:t>
      </w:r>
      <w:r w:rsidR="00032378" w:rsidRPr="00182FC2">
        <w:rPr>
          <w:sz w:val="22"/>
          <w:szCs w:val="22"/>
        </w:rPr>
        <w:t>.</w:t>
      </w:r>
      <w:r w:rsidR="005A7B4E" w:rsidRPr="00182FC2">
        <w:rPr>
          <w:sz w:val="22"/>
          <w:szCs w:val="22"/>
        </w:rPr>
        <w:t xml:space="preserve">  </w:t>
      </w:r>
      <w:r w:rsidRPr="00182FC2">
        <w:rPr>
          <w:sz w:val="22"/>
          <w:szCs w:val="22"/>
        </w:rPr>
        <w:t xml:space="preserve">Minutes were recorded by </w:t>
      </w:r>
      <w:r w:rsidR="007E4892"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>.</w:t>
      </w:r>
    </w:p>
    <w:p w14:paraId="0B772B56" w14:textId="77777777"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Old Business</w:t>
      </w:r>
    </w:p>
    <w:p w14:paraId="75C63BEF" w14:textId="77777777" w:rsidR="00FF7EC9" w:rsidRDefault="00FF7EC9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>IEEE mandatory legal slides were reviewed by the Chair.  No patents were identified by the attendees.</w:t>
      </w:r>
    </w:p>
    <w:p w14:paraId="1932B96D" w14:textId="2712B677" w:rsidR="001A2CA1" w:rsidRDefault="001A2CA1" w:rsidP="000277CB">
      <w:pPr>
        <w:rPr>
          <w:sz w:val="22"/>
          <w:szCs w:val="22"/>
        </w:rPr>
      </w:pPr>
      <w:r>
        <w:rPr>
          <w:sz w:val="22"/>
          <w:szCs w:val="22"/>
        </w:rPr>
        <w:t>Par timeline was reviewed.  Par expires 12/2021.  Reviewed scope and purpose.</w:t>
      </w:r>
    </w:p>
    <w:p w14:paraId="5873FB8B" w14:textId="7FDF296F" w:rsidR="009262BE" w:rsidRPr="00182FC2" w:rsidRDefault="009262BE" w:rsidP="000277CB">
      <w:pPr>
        <w:rPr>
          <w:sz w:val="22"/>
          <w:szCs w:val="22"/>
        </w:rPr>
      </w:pPr>
      <w:r>
        <w:rPr>
          <w:sz w:val="22"/>
          <w:szCs w:val="22"/>
        </w:rPr>
        <w:t xml:space="preserve">Discussed the decision to make 519 strictly a load-based standard.  </w:t>
      </w: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suggested using footnotes under tables 2-4 for reference to 1547 and P2800 when published.</w:t>
      </w:r>
    </w:p>
    <w:p w14:paraId="50F63AC8" w14:textId="2C17E936" w:rsidR="007341FC" w:rsidRDefault="00032378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 xml:space="preserve">Minutes from </w:t>
      </w:r>
      <w:r w:rsidR="00D21BD3">
        <w:rPr>
          <w:sz w:val="22"/>
          <w:szCs w:val="22"/>
        </w:rPr>
        <w:t>20</w:t>
      </w:r>
      <w:r w:rsidR="009262BE">
        <w:rPr>
          <w:sz w:val="22"/>
          <w:szCs w:val="22"/>
        </w:rPr>
        <w:t>20</w:t>
      </w:r>
      <w:r w:rsidR="00973398">
        <w:rPr>
          <w:sz w:val="22"/>
          <w:szCs w:val="22"/>
        </w:rPr>
        <w:t xml:space="preserve"> </w:t>
      </w:r>
      <w:r w:rsidR="009262BE">
        <w:rPr>
          <w:sz w:val="22"/>
          <w:szCs w:val="22"/>
        </w:rPr>
        <w:t>JTCM</w:t>
      </w:r>
      <w:r w:rsidR="004B5F83">
        <w:rPr>
          <w:sz w:val="22"/>
          <w:szCs w:val="22"/>
        </w:rPr>
        <w:t xml:space="preserve"> </w:t>
      </w:r>
      <w:r w:rsidR="009E170A">
        <w:rPr>
          <w:sz w:val="22"/>
          <w:szCs w:val="22"/>
        </w:rPr>
        <w:t xml:space="preserve">unanimously </w:t>
      </w:r>
      <w:r w:rsidRPr="00182FC2">
        <w:rPr>
          <w:sz w:val="22"/>
          <w:szCs w:val="22"/>
        </w:rPr>
        <w:t>approved</w:t>
      </w:r>
      <w:r w:rsidR="009262BE">
        <w:rPr>
          <w:sz w:val="22"/>
          <w:szCs w:val="22"/>
        </w:rPr>
        <w:t>????</w:t>
      </w:r>
    </w:p>
    <w:p w14:paraId="756CE8E4" w14:textId="77777777" w:rsidR="00530C9B" w:rsidRPr="00420A00" w:rsidRDefault="007E4892" w:rsidP="00420A00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New Business</w:t>
      </w:r>
    </w:p>
    <w:p w14:paraId="2F4595D7" w14:textId="26912ADB" w:rsidR="009262BE" w:rsidRDefault="009262BE" w:rsidP="004D6416">
      <w:r>
        <w:lastRenderedPageBreak/>
        <w:t xml:space="preserve">Reviewed RPA decision making tree from IEEE1547 and discussed using the same concept to determine when 519, 1547 and 2800 apply in the presence of generation resources or lack </w:t>
      </w:r>
      <w:proofErr w:type="spellStart"/>
      <w:r>
        <w:t>there of</w:t>
      </w:r>
      <w:proofErr w:type="spellEnd"/>
      <w:r>
        <w:t>.</w:t>
      </w:r>
    </w:p>
    <w:p w14:paraId="2A25D7BF" w14:textId="773F1F9B" w:rsidR="009262BE" w:rsidRDefault="008F3040" w:rsidP="008F3040">
      <w:r>
        <w:t xml:space="preserve">Discussed need to insert </w:t>
      </w:r>
      <w:proofErr w:type="spellStart"/>
      <w:r>
        <w:t>interharmonic</w:t>
      </w:r>
      <w:proofErr w:type="spellEnd"/>
      <w:r>
        <w:t xml:space="preserve"> limit information in an informative annex of the new 519 draft.  Need to reach out to Roberto </w:t>
      </w:r>
      <w:proofErr w:type="spellStart"/>
      <w:r>
        <w:t>Langella</w:t>
      </w:r>
      <w:proofErr w:type="spellEnd"/>
      <w:r>
        <w:t xml:space="preserve"> and </w:t>
      </w:r>
      <w:proofErr w:type="spellStart"/>
      <w:r>
        <w:t>Interhamonic</w:t>
      </w:r>
      <w:proofErr w:type="spellEnd"/>
      <w:r>
        <w:t xml:space="preserve"> TF</w:t>
      </w:r>
    </w:p>
    <w:p w14:paraId="16EC0316" w14:textId="2B3CA4AF" w:rsidR="008F3040" w:rsidRDefault="008F3040" w:rsidP="008F3040">
      <w:r>
        <w:t>Discussed current limits &gt;50</w:t>
      </w:r>
      <w:r w:rsidRPr="008F3040">
        <w:rPr>
          <w:vertAlign w:val="superscript"/>
        </w:rPr>
        <w:t>th</w:t>
      </w:r>
      <w:r>
        <w:t xml:space="preserve"> harmonic.</w:t>
      </w:r>
    </w:p>
    <w:p w14:paraId="508691AF" w14:textId="5D62AE09" w:rsidR="008F3040" w:rsidRDefault="008F3040" w:rsidP="008F3040">
      <w:pPr>
        <w:pStyle w:val="ListParagraph"/>
        <w:numPr>
          <w:ilvl w:val="0"/>
          <w:numId w:val="34"/>
        </w:numPr>
      </w:pPr>
      <w:r>
        <w:t>Bill Howe voiced in favor of removing 50</w:t>
      </w:r>
      <w:r w:rsidRPr="008F3040">
        <w:rPr>
          <w:vertAlign w:val="superscript"/>
        </w:rPr>
        <w:t>th</w:t>
      </w:r>
      <w:r>
        <w:t xml:space="preserve"> harmonic order cap</w:t>
      </w:r>
      <w:r w:rsidR="003D4CCB">
        <w:t>.</w:t>
      </w:r>
    </w:p>
    <w:p w14:paraId="45584593" w14:textId="57274B57" w:rsidR="008F3040" w:rsidRDefault="008F3040" w:rsidP="008F3040">
      <w:pPr>
        <w:pStyle w:val="ListParagraph"/>
        <w:numPr>
          <w:ilvl w:val="0"/>
          <w:numId w:val="34"/>
        </w:numPr>
      </w:pPr>
      <w:proofErr w:type="spellStart"/>
      <w:r>
        <w:t>Nikunj</w:t>
      </w:r>
      <w:proofErr w:type="spellEnd"/>
      <w:r>
        <w:t xml:space="preserve"> voiced concern about removing 50</w:t>
      </w:r>
      <w:r w:rsidRPr="008F3040">
        <w:rPr>
          <w:vertAlign w:val="superscript"/>
        </w:rPr>
        <w:t>th</w:t>
      </w:r>
      <w:r>
        <w:t xml:space="preserve"> harmonic order cap as it may lead to increased emissions above the 50</w:t>
      </w:r>
      <w:r w:rsidRPr="008F3040">
        <w:rPr>
          <w:vertAlign w:val="superscript"/>
        </w:rPr>
        <w:t>th</w:t>
      </w:r>
      <w:r>
        <w:t>.</w:t>
      </w:r>
    </w:p>
    <w:p w14:paraId="1982212C" w14:textId="1933B311" w:rsidR="008F3040" w:rsidRDefault="008F3040" w:rsidP="008F3040">
      <w:pPr>
        <w:pStyle w:val="ListParagraph"/>
        <w:numPr>
          <w:ilvl w:val="0"/>
          <w:numId w:val="34"/>
        </w:numPr>
      </w:pPr>
      <w:r>
        <w:t xml:space="preserve">Math </w:t>
      </w:r>
      <w:proofErr w:type="spellStart"/>
      <w:r>
        <w:t>Bollen</w:t>
      </w:r>
      <w:proofErr w:type="spellEnd"/>
      <w:r>
        <w:t xml:space="preserve"> voiced concern that we don’t have much knowledge or reasoning for establishing limits above the 50</w:t>
      </w:r>
      <w:r w:rsidRPr="008F3040">
        <w:rPr>
          <w:vertAlign w:val="superscript"/>
        </w:rPr>
        <w:t>th</w:t>
      </w:r>
      <w:r>
        <w:t xml:space="preserve"> and therefore is premature at this point.</w:t>
      </w:r>
    </w:p>
    <w:p w14:paraId="765E42C0" w14:textId="371593B3" w:rsidR="008F3040" w:rsidRDefault="008F3040" w:rsidP="008F3040">
      <w:pPr>
        <w:pStyle w:val="ListParagraph"/>
        <w:numPr>
          <w:ilvl w:val="0"/>
          <w:numId w:val="34"/>
        </w:numPr>
      </w:pPr>
      <w:proofErr w:type="spellStart"/>
      <w:r>
        <w:t>Kenn</w:t>
      </w:r>
      <w:proofErr w:type="spellEnd"/>
      <w:r>
        <w:t xml:space="preserve"> sited example from Larry Conrad where end-user intentionally targeted harmonics at the 63</w:t>
      </w:r>
      <w:r w:rsidRPr="008F3040">
        <w:rPr>
          <w:vertAlign w:val="superscript"/>
        </w:rPr>
        <w:t>rd</w:t>
      </w:r>
      <w:r>
        <w:t xml:space="preserve"> order as a loop hole to meeting harmonic limits</w:t>
      </w:r>
      <w:r w:rsidR="003D4CCB">
        <w:t xml:space="preserve"> (i.e. going beyond the 50</w:t>
      </w:r>
      <w:r w:rsidR="003D4CCB" w:rsidRPr="003D4CCB">
        <w:rPr>
          <w:vertAlign w:val="superscript"/>
        </w:rPr>
        <w:t>th</w:t>
      </w:r>
      <w:r w:rsidR="003D4CCB">
        <w:t xml:space="preserve"> order)., which caused neighboring equipment issues.  This happened to be due to a resonance issue. </w:t>
      </w:r>
    </w:p>
    <w:p w14:paraId="1F432288" w14:textId="38796DE4" w:rsidR="008F3040" w:rsidRDefault="003D4CCB" w:rsidP="008F3040">
      <w:pPr>
        <w:pStyle w:val="ListParagraph"/>
        <w:numPr>
          <w:ilvl w:val="0"/>
          <w:numId w:val="34"/>
        </w:numPr>
      </w:pPr>
      <w:proofErr w:type="spellStart"/>
      <w:r>
        <w:t>Grazia</w:t>
      </w:r>
      <w:proofErr w:type="spellEnd"/>
      <w:r>
        <w:t xml:space="preserve"> presented </w:t>
      </w:r>
      <w:r w:rsidR="00842CF5">
        <w:t xml:space="preserve">summary </w:t>
      </w:r>
      <w:r>
        <w:t xml:space="preserve">slides on UK </w:t>
      </w:r>
      <w:r w:rsidR="00842CF5">
        <w:t>E</w:t>
      </w:r>
      <w:r>
        <w:t xml:space="preserve">ngineering </w:t>
      </w:r>
      <w:r w:rsidR="00842CF5">
        <w:t>G5/</w:t>
      </w:r>
      <w:r>
        <w:t xml:space="preserve">sub-group </w:t>
      </w:r>
      <w:r w:rsidR="00842CF5">
        <w:t xml:space="preserve">5 </w:t>
      </w:r>
      <w:r>
        <w:t>recommendation for harmonic limits beyond the 50</w:t>
      </w:r>
      <w:r w:rsidRPr="003D4CCB">
        <w:rPr>
          <w:vertAlign w:val="superscript"/>
        </w:rPr>
        <w:t>th</w:t>
      </w:r>
      <w:r>
        <w:t xml:space="preserve"> order.</w:t>
      </w:r>
    </w:p>
    <w:p w14:paraId="37D5A6EB" w14:textId="08A97FF3" w:rsidR="003D4CCB" w:rsidRDefault="003D4CCB" w:rsidP="003D4CCB">
      <w:pPr>
        <w:pStyle w:val="ListParagraph"/>
        <w:numPr>
          <w:ilvl w:val="1"/>
          <w:numId w:val="34"/>
        </w:numPr>
      </w:pPr>
      <w:r>
        <w:t>Focuses on harmonic voltage distortion</w:t>
      </w:r>
    </w:p>
    <w:p w14:paraId="0A39084C" w14:textId="1F99444A" w:rsidR="003D4CCB" w:rsidRDefault="003D4CCB" w:rsidP="003D4CCB">
      <w:pPr>
        <w:pStyle w:val="ListParagraph"/>
        <w:numPr>
          <w:ilvl w:val="1"/>
          <w:numId w:val="34"/>
        </w:numPr>
      </w:pPr>
      <w:r>
        <w:t>Limits extended up to 5kHz (100</w:t>
      </w:r>
      <w:r w:rsidRPr="003D4CCB">
        <w:rPr>
          <w:vertAlign w:val="superscript"/>
        </w:rPr>
        <w:t>th</w:t>
      </w:r>
      <w:r>
        <w:t xml:space="preserve"> order)</w:t>
      </w:r>
    </w:p>
    <w:p w14:paraId="2D3FA15B" w14:textId="31F6BA2E" w:rsidR="003D4CCB" w:rsidRDefault="003D4CCB" w:rsidP="003D4CCB">
      <w:pPr>
        <w:pStyle w:val="ListParagraph"/>
        <w:numPr>
          <w:ilvl w:val="1"/>
          <w:numId w:val="34"/>
        </w:numPr>
      </w:pPr>
      <w:r>
        <w:t>Power electronic equipment does emit harmonic frequencies beyond 50</w:t>
      </w:r>
      <w:r w:rsidRPr="003D4CCB">
        <w:rPr>
          <w:vertAlign w:val="superscript"/>
        </w:rPr>
        <w:t>th</w:t>
      </w:r>
      <w:r>
        <w:t xml:space="preserve"> order</w:t>
      </w:r>
    </w:p>
    <w:p w14:paraId="643DCD38" w14:textId="07D99F68" w:rsidR="003D4CCB" w:rsidRDefault="003D4CCB" w:rsidP="003D4CCB">
      <w:pPr>
        <w:pStyle w:val="ListParagraph"/>
        <w:numPr>
          <w:ilvl w:val="1"/>
          <w:numId w:val="34"/>
        </w:numPr>
      </w:pPr>
      <w:proofErr w:type="spellStart"/>
      <w:r>
        <w:t>THDv</w:t>
      </w:r>
      <w:proofErr w:type="spellEnd"/>
      <w:r>
        <w:t xml:space="preserve"> definition includes orders up to 100</w:t>
      </w:r>
      <w:r w:rsidRPr="003D4CCB">
        <w:rPr>
          <w:vertAlign w:val="superscript"/>
        </w:rPr>
        <w:t>th</w:t>
      </w:r>
    </w:p>
    <w:p w14:paraId="47383E76" w14:textId="63A6E6EE" w:rsidR="00842CF5" w:rsidRDefault="00842CF5" w:rsidP="00842CF5">
      <w:pPr>
        <w:pStyle w:val="ListParagraph"/>
        <w:numPr>
          <w:ilvl w:val="1"/>
          <w:numId w:val="34"/>
        </w:numPr>
      </w:pPr>
      <w:r>
        <w:t>Evidence that distortion in LV networks above 50</w:t>
      </w:r>
      <w:r w:rsidRPr="00842CF5">
        <w:rPr>
          <w:vertAlign w:val="superscript"/>
        </w:rPr>
        <w:t>th</w:t>
      </w:r>
      <w:r>
        <w:t xml:space="preserve"> order exist</w:t>
      </w:r>
      <w:r w:rsidR="00F73EC4">
        <w:t>s</w:t>
      </w:r>
      <w:r>
        <w:t>, but at low levels presently.</w:t>
      </w:r>
    </w:p>
    <w:p w14:paraId="325B9191" w14:textId="6CB10A14" w:rsidR="00842CF5" w:rsidRDefault="00842CF5" w:rsidP="00842CF5">
      <w:pPr>
        <w:pStyle w:val="ListParagraph"/>
        <w:numPr>
          <w:ilvl w:val="1"/>
          <w:numId w:val="34"/>
        </w:numPr>
      </w:pPr>
      <w:r>
        <w:t xml:space="preserve">Formal presentation/report available for public download.  </w:t>
      </w:r>
    </w:p>
    <w:p w14:paraId="25799953" w14:textId="4D61BC2E" w:rsidR="00842CF5" w:rsidRDefault="00842CF5" w:rsidP="00842CF5">
      <w:pPr>
        <w:pStyle w:val="ListParagraph"/>
        <w:numPr>
          <w:ilvl w:val="0"/>
          <w:numId w:val="34"/>
        </w:numPr>
      </w:pPr>
      <w:proofErr w:type="spellStart"/>
      <w:r>
        <w:t>Kenn</w:t>
      </w:r>
      <w:proofErr w:type="spellEnd"/>
      <w:r>
        <w:t xml:space="preserve"> suggested we may need to lead the initiative by making a change in the limits to motivate industry to better understand harmonic distortion in this frequency range.</w:t>
      </w:r>
    </w:p>
    <w:p w14:paraId="0959997B" w14:textId="42C67C00" w:rsidR="00842CF5" w:rsidRDefault="00842CF5" w:rsidP="00842CF5">
      <w:pPr>
        <w:pStyle w:val="ListParagraph"/>
        <w:numPr>
          <w:ilvl w:val="0"/>
          <w:numId w:val="34"/>
        </w:numPr>
      </w:pPr>
      <w:r>
        <w:t xml:space="preserve">Some suggested adding another column to harmonic limits tables for orders </w:t>
      </w:r>
      <w:proofErr w:type="gramStart"/>
      <w:r w:rsidR="00F73EC4">
        <w:t>between 50 to 100</w:t>
      </w:r>
      <w:proofErr w:type="gramEnd"/>
      <w:r>
        <w:t>.</w:t>
      </w:r>
    </w:p>
    <w:p w14:paraId="559331A1" w14:textId="77777777" w:rsidR="009B2127" w:rsidRDefault="00F73EC4" w:rsidP="009B2127">
      <w:pPr>
        <w:pStyle w:val="ListParagraph"/>
        <w:numPr>
          <w:ilvl w:val="0"/>
          <w:numId w:val="34"/>
        </w:numPr>
      </w:pPr>
      <w:r>
        <w:t xml:space="preserve">Math </w:t>
      </w:r>
      <w:proofErr w:type="spellStart"/>
      <w:r>
        <w:t>Bollen</w:t>
      </w:r>
      <w:proofErr w:type="spellEnd"/>
      <w:r>
        <w:t xml:space="preserve"> brought up the point that HVDC do emit in this frequency range and of relatively significant magnitude.  Manufacturers know the emissions of their equipment at those frequencies.</w:t>
      </w:r>
    </w:p>
    <w:p w14:paraId="4325CBCE" w14:textId="77777777" w:rsidR="009B2127" w:rsidRDefault="009B2127" w:rsidP="009B2127">
      <w:r>
        <w:t>New THD Definitions discussed.</w:t>
      </w:r>
    </w:p>
    <w:p w14:paraId="0A024629" w14:textId="34FC01D7" w:rsidR="00842CF5" w:rsidRDefault="009B2127" w:rsidP="009B2127">
      <w:pPr>
        <w:pStyle w:val="ListParagraph"/>
        <w:numPr>
          <w:ilvl w:val="0"/>
          <w:numId w:val="35"/>
        </w:numPr>
      </w:pPr>
      <w:r>
        <w:t>Dave Mueller in favor of improving and expanding definitions for THD.</w:t>
      </w:r>
    </w:p>
    <w:p w14:paraId="017D0A2D" w14:textId="3B38A5A0" w:rsidR="009B2127" w:rsidRDefault="009B2127" w:rsidP="009B2127">
      <w:pPr>
        <w:pStyle w:val="ListParagraph"/>
        <w:numPr>
          <w:ilvl w:val="0"/>
          <w:numId w:val="35"/>
        </w:numPr>
      </w:pPr>
      <w:r>
        <w:t>Nick Zagrodnik shared working progress on this item to Dave Mueller who vo</w:t>
      </w:r>
      <w:r w:rsidR="0007499E">
        <w:t>lunteered to review and potentially make some recommendations for the next draft.</w:t>
      </w:r>
    </w:p>
    <w:p w14:paraId="0AE2D601" w14:textId="42A2A10B" w:rsidR="0007499E" w:rsidRDefault="0007499E" w:rsidP="0007499E">
      <w:r>
        <w:t xml:space="preserve">Mark </w:t>
      </w:r>
      <w:proofErr w:type="spellStart"/>
      <w:r>
        <w:t>Halpin</w:t>
      </w:r>
      <w:proofErr w:type="spellEnd"/>
      <w:r>
        <w:t xml:space="preserve"> </w:t>
      </w:r>
      <w:r w:rsidR="00490C42">
        <w:t xml:space="preserve">verbally </w:t>
      </w:r>
      <w:r>
        <w:t xml:space="preserve">provided IEC </w:t>
      </w:r>
      <w:r w:rsidR="00490C42">
        <w:t xml:space="preserve">61000-2-4 </w:t>
      </w:r>
      <w:r>
        <w:t>update on revisions to harmonic limits</w:t>
      </w:r>
      <w:r w:rsidR="00490C42">
        <w:t>.</w:t>
      </w:r>
    </w:p>
    <w:p w14:paraId="1D55A8AA" w14:textId="4EDCB79D" w:rsidR="0007499E" w:rsidRDefault="0007499E" w:rsidP="0007499E">
      <w:pPr>
        <w:pStyle w:val="ListParagraph"/>
        <w:numPr>
          <w:ilvl w:val="0"/>
          <w:numId w:val="36"/>
        </w:numPr>
      </w:pPr>
      <w:r>
        <w:t xml:space="preserve">IEC document recognizes that compatibility of equipment is higher </w:t>
      </w:r>
      <w:r w:rsidR="00490C42">
        <w:t>compared</w:t>
      </w:r>
      <w:r>
        <w:t xml:space="preserve"> to </w:t>
      </w:r>
      <w:r w:rsidR="00490C42">
        <w:t xml:space="preserve">existing </w:t>
      </w:r>
      <w:r>
        <w:t>harmonic limits</w:t>
      </w:r>
    </w:p>
    <w:p w14:paraId="253570D1" w14:textId="733BEECD" w:rsidR="0007499E" w:rsidRDefault="0007499E" w:rsidP="0007499E">
      <w:pPr>
        <w:pStyle w:val="ListParagraph"/>
        <w:numPr>
          <w:ilvl w:val="0"/>
          <w:numId w:val="36"/>
        </w:numPr>
      </w:pPr>
      <w:r>
        <w:t xml:space="preserve">Dave Mueller asked question about validity of general understanding that significant motor heating will occur at voltage distortion levels above 10%.  Mark </w:t>
      </w:r>
      <w:proofErr w:type="spellStart"/>
      <w:r>
        <w:t>Halpin</w:t>
      </w:r>
      <w:proofErr w:type="spellEnd"/>
      <w:r>
        <w:t xml:space="preserve"> responded by citing previous IEC work/research on private installations that can tolerate higher distortion levels.</w:t>
      </w:r>
    </w:p>
    <w:p w14:paraId="5D451D37" w14:textId="2ADECAE2" w:rsidR="0007499E" w:rsidRDefault="0007499E" w:rsidP="0007499E">
      <w:pPr>
        <w:pStyle w:val="ListParagraph"/>
        <w:numPr>
          <w:ilvl w:val="0"/>
          <w:numId w:val="36"/>
        </w:numPr>
      </w:pPr>
      <w:r>
        <w:t>Harish referenced CIGRE report on consequential inefficiencies in utility power systems that result from elevated harmonic distortion and asked whether IEC has considered this.</w:t>
      </w:r>
    </w:p>
    <w:p w14:paraId="6F653E9A" w14:textId="74090141" w:rsidR="00490C42" w:rsidRDefault="00490C42" w:rsidP="0007499E">
      <w:pPr>
        <w:pStyle w:val="ListParagraph"/>
        <w:numPr>
          <w:ilvl w:val="0"/>
          <w:numId w:val="36"/>
        </w:numPr>
      </w:pPr>
      <w:r>
        <w:t xml:space="preserve">Math </w:t>
      </w:r>
      <w:proofErr w:type="spellStart"/>
      <w:r>
        <w:t>Bollen</w:t>
      </w:r>
      <w:proofErr w:type="spellEnd"/>
      <w:r>
        <w:t xml:space="preserve"> commented that THD </w:t>
      </w:r>
    </w:p>
    <w:p w14:paraId="047CE013" w14:textId="7D7CCA4C" w:rsidR="00490C42" w:rsidRDefault="00490C42" w:rsidP="00490C42">
      <w:r>
        <w:t xml:space="preserve">Mark </w:t>
      </w:r>
      <w:proofErr w:type="spellStart"/>
      <w:r>
        <w:t>Halpin</w:t>
      </w:r>
      <w:proofErr w:type="spellEnd"/>
      <w:r>
        <w:t xml:space="preserve"> provided update on 519.1</w:t>
      </w:r>
    </w:p>
    <w:p w14:paraId="6D15EEF3" w14:textId="4279B55C" w:rsidR="00490C42" w:rsidRDefault="00490C42" w:rsidP="00490C42">
      <w:pPr>
        <w:pStyle w:val="ListParagraph"/>
        <w:numPr>
          <w:ilvl w:val="0"/>
          <w:numId w:val="37"/>
        </w:numPr>
      </w:pPr>
      <w:r>
        <w:lastRenderedPageBreak/>
        <w:t>Reviewed document sections and volunteers as established from Atlanta GM</w:t>
      </w:r>
    </w:p>
    <w:p w14:paraId="003D15CB" w14:textId="67481DD8" w:rsidR="00490C42" w:rsidRDefault="00761292" w:rsidP="00490C42">
      <w:pPr>
        <w:pStyle w:val="ListParagraph"/>
        <w:numPr>
          <w:ilvl w:val="0"/>
          <w:numId w:val="37"/>
        </w:numPr>
      </w:pPr>
      <w:r>
        <w:t>Highlighted areas still needing proposed writing for a draft</w:t>
      </w:r>
    </w:p>
    <w:p w14:paraId="791399A4" w14:textId="08D47DC6" w:rsidR="00761292" w:rsidRDefault="00D3129A" w:rsidP="00490C42">
      <w:pPr>
        <w:pStyle w:val="ListParagraph"/>
        <w:numPr>
          <w:ilvl w:val="0"/>
          <w:numId w:val="37"/>
        </w:numPr>
      </w:pPr>
      <w:proofErr w:type="spellStart"/>
      <w:r>
        <w:t>Interharmonic</w:t>
      </w:r>
      <w:proofErr w:type="spellEnd"/>
      <w:r>
        <w:t xml:space="preserve"> Limits has not submitted anything as of yet.  Follow-up with Roberto</w:t>
      </w:r>
    </w:p>
    <w:p w14:paraId="66092B71" w14:textId="54BA3AF6" w:rsidR="00D3129A" w:rsidRDefault="00D3129A" w:rsidP="00490C42">
      <w:pPr>
        <w:pStyle w:val="ListParagraph"/>
        <w:numPr>
          <w:ilvl w:val="0"/>
          <w:numId w:val="37"/>
        </w:numPr>
      </w:pPr>
      <w:r>
        <w:t>Eliminated increasing harmonic voltage limits on HV and EHV systems due to opposing working group vote to not increase limits.</w:t>
      </w:r>
    </w:p>
    <w:p w14:paraId="75E1286B" w14:textId="59D87593" w:rsidR="00761292" w:rsidRDefault="00761292" w:rsidP="00490C42">
      <w:pPr>
        <w:pStyle w:val="ListParagraph"/>
        <w:numPr>
          <w:ilvl w:val="0"/>
          <w:numId w:val="37"/>
        </w:numPr>
      </w:pPr>
      <w:r>
        <w:t>THD Definition section work needs more substance to make it to an accepted draft</w:t>
      </w:r>
    </w:p>
    <w:p w14:paraId="2A750B88" w14:textId="50F870B8" w:rsidR="00761292" w:rsidRDefault="00761292" w:rsidP="00490C42">
      <w:pPr>
        <w:pStyle w:val="ListParagraph"/>
        <w:numPr>
          <w:ilvl w:val="0"/>
          <w:numId w:val="37"/>
        </w:numPr>
      </w:pPr>
      <w:r>
        <w:t xml:space="preserve">Changed Rationale for Limiting Considerations up to </w:t>
      </w:r>
      <w:proofErr w:type="gramStart"/>
      <w:r>
        <w:t>3kHz</w:t>
      </w:r>
      <w:proofErr w:type="gramEnd"/>
      <w:r>
        <w:t xml:space="preserve"> to Rationale for Limiting Considerations up to 9kHz.  </w:t>
      </w:r>
      <w:proofErr w:type="spellStart"/>
      <w:r>
        <w:t>Kenn</w:t>
      </w:r>
      <w:proofErr w:type="spellEnd"/>
      <w:r>
        <w:t xml:space="preserve"> volunteered to lead</w:t>
      </w:r>
      <w:r w:rsidR="00D3129A">
        <w:t xml:space="preserve"> draft work on this section.</w:t>
      </w:r>
    </w:p>
    <w:p w14:paraId="24B604C1" w14:textId="4934ADEB" w:rsidR="00761292" w:rsidRDefault="00761292" w:rsidP="00490C42">
      <w:pPr>
        <w:pStyle w:val="ListParagraph"/>
        <w:numPr>
          <w:ilvl w:val="0"/>
          <w:numId w:val="37"/>
        </w:numPr>
      </w:pPr>
      <w:r>
        <w:t>Very Short Term Harmonic Considerations, update in progress.  Need to contact Scott Peele</w:t>
      </w:r>
    </w:p>
    <w:p w14:paraId="60236709" w14:textId="06800A30" w:rsidR="00761292" w:rsidRDefault="00761292" w:rsidP="00490C42">
      <w:pPr>
        <w:pStyle w:val="ListParagraph"/>
        <w:numPr>
          <w:ilvl w:val="0"/>
          <w:numId w:val="37"/>
        </w:numPr>
      </w:pPr>
      <w:r>
        <w:t xml:space="preserve">Applications to Energy Producing Installations, lead became Dave </w:t>
      </w:r>
      <w:proofErr w:type="spellStart"/>
      <w:r>
        <w:t>Zech</w:t>
      </w:r>
      <w:proofErr w:type="spellEnd"/>
      <w:r>
        <w:t xml:space="preserve"> due to involvement with P2800</w:t>
      </w:r>
    </w:p>
    <w:p w14:paraId="0FCCA3CB" w14:textId="77F82A6A" w:rsidR="00761292" w:rsidRDefault="00761292" w:rsidP="00761292">
      <w:pPr>
        <w:pStyle w:val="ListParagraph"/>
        <w:numPr>
          <w:ilvl w:val="1"/>
          <w:numId w:val="37"/>
        </w:numPr>
      </w:pPr>
      <w:r>
        <w:t>Explain decision making chart being proposed on when to use 519, 1547 or 2800</w:t>
      </w:r>
    </w:p>
    <w:p w14:paraId="7FFA3058" w14:textId="585A00F0" w:rsidR="00761292" w:rsidRDefault="00761292" w:rsidP="00761292">
      <w:pPr>
        <w:pStyle w:val="ListParagraph"/>
        <w:numPr>
          <w:ilvl w:val="1"/>
          <w:numId w:val="37"/>
        </w:numPr>
      </w:pPr>
      <w:r>
        <w:t>Harish, Nick and Dave Mueller to be technical reviewers to Dave Zech.</w:t>
      </w:r>
    </w:p>
    <w:p w14:paraId="3C1DA544" w14:textId="0AB37424" w:rsidR="00761292" w:rsidRDefault="00761292" w:rsidP="00761292">
      <w:pPr>
        <w:pStyle w:val="ListParagraph"/>
        <w:numPr>
          <w:ilvl w:val="0"/>
          <w:numId w:val="37"/>
        </w:numPr>
      </w:pPr>
      <w:r>
        <w:t>Eliminated the need to review statistical evaluation section</w:t>
      </w:r>
    </w:p>
    <w:p w14:paraId="0774DE44" w14:textId="27240551" w:rsidR="00D3129A" w:rsidRDefault="00D3129A" w:rsidP="00D3129A">
      <w:r>
        <w:t xml:space="preserve">Mark to have a draft of 519.1 sent to WG members prior to 12/2020.  </w:t>
      </w:r>
      <w:proofErr w:type="spellStart"/>
      <w:r>
        <w:t>Kenn</w:t>
      </w:r>
      <w:proofErr w:type="spellEnd"/>
      <w:r>
        <w:t xml:space="preserve"> suggested setting deadline of late September 2020 for 519.1 document section volunteer work to be completed and submitted.</w:t>
      </w:r>
    </w:p>
    <w:p w14:paraId="3CA2DDB4" w14:textId="77777777" w:rsidR="00F42FE2" w:rsidRDefault="00F42FE2" w:rsidP="00254809">
      <w:pPr>
        <w:rPr>
          <w:highlight w:val="yellow"/>
        </w:rPr>
      </w:pPr>
    </w:p>
    <w:p w14:paraId="4F200EBE" w14:textId="1D544942" w:rsidR="003B63AE" w:rsidRPr="00254809" w:rsidRDefault="000E6351" w:rsidP="003B63AE">
      <w:r>
        <w:t xml:space="preserve">Meeting adjourned at </w:t>
      </w:r>
      <w:r w:rsidR="00D3129A">
        <w:t>2</w:t>
      </w:r>
      <w:r w:rsidR="003B63AE">
        <w:t>:</w:t>
      </w:r>
      <w:r w:rsidR="00D3129A">
        <w:t>48</w:t>
      </w:r>
      <w:r w:rsidR="007634BE">
        <w:t xml:space="preserve"> </w:t>
      </w:r>
      <w:r w:rsidR="00D3129A">
        <w:t>p</w:t>
      </w:r>
      <w:r w:rsidR="003B63AE">
        <w:t>m</w:t>
      </w:r>
    </w:p>
    <w:p w14:paraId="1BE26C63" w14:textId="77777777" w:rsidR="007E489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Summary of Volunteers for Future Activities:</w:t>
      </w:r>
    </w:p>
    <w:p w14:paraId="5864D1E1" w14:textId="77777777" w:rsidR="00FD5A2C" w:rsidRPr="00FD5A2C" w:rsidRDefault="002C612A" w:rsidP="00FD5A2C">
      <w:r>
        <w:t>New and c</w:t>
      </w:r>
      <w:r w:rsidR="00FD5A2C">
        <w:t>arryover Action Items from 2019 JTCM</w:t>
      </w:r>
    </w:p>
    <w:p w14:paraId="2ED47C42" w14:textId="77777777" w:rsidR="00FC4643" w:rsidRDefault="0062002B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(New) </w:t>
      </w:r>
      <w:r w:rsidR="00FC4643">
        <w:rPr>
          <w:sz w:val="22"/>
          <w:szCs w:val="22"/>
        </w:rPr>
        <w:t xml:space="preserve">Roberto </w:t>
      </w:r>
      <w:proofErr w:type="spellStart"/>
      <w:r w:rsidR="00FC4643">
        <w:rPr>
          <w:sz w:val="22"/>
          <w:szCs w:val="22"/>
        </w:rPr>
        <w:t>Langella</w:t>
      </w:r>
      <w:r w:rsidR="001B46EA">
        <w:rPr>
          <w:sz w:val="22"/>
          <w:szCs w:val="22"/>
        </w:rPr>
        <w:t>’s</w:t>
      </w:r>
      <w:proofErr w:type="spellEnd"/>
      <w:r w:rsidR="001B46EA">
        <w:rPr>
          <w:sz w:val="22"/>
          <w:szCs w:val="22"/>
        </w:rPr>
        <w:t xml:space="preserve"> </w:t>
      </w:r>
      <w:proofErr w:type="spellStart"/>
      <w:r w:rsidR="002C612A">
        <w:rPr>
          <w:sz w:val="22"/>
          <w:szCs w:val="22"/>
        </w:rPr>
        <w:t>interharmonics</w:t>
      </w:r>
      <w:proofErr w:type="spellEnd"/>
      <w:r w:rsidR="002C612A">
        <w:rPr>
          <w:sz w:val="22"/>
          <w:szCs w:val="22"/>
        </w:rPr>
        <w:t xml:space="preserve"> </w:t>
      </w:r>
      <w:r w:rsidR="001B46EA">
        <w:rPr>
          <w:sz w:val="22"/>
          <w:szCs w:val="22"/>
        </w:rPr>
        <w:t>team</w:t>
      </w:r>
      <w:r w:rsidR="00FC4643">
        <w:rPr>
          <w:sz w:val="22"/>
          <w:szCs w:val="22"/>
        </w:rPr>
        <w:t xml:space="preserve"> to </w:t>
      </w:r>
      <w:r w:rsidR="002C612A">
        <w:rPr>
          <w:sz w:val="22"/>
          <w:szCs w:val="22"/>
        </w:rPr>
        <w:t>write material for informative a</w:t>
      </w:r>
      <w:r w:rsidR="00AC0BD0">
        <w:rPr>
          <w:sz w:val="22"/>
          <w:szCs w:val="22"/>
        </w:rPr>
        <w:t>nnex</w:t>
      </w:r>
      <w:r w:rsidR="002C612A">
        <w:rPr>
          <w:sz w:val="22"/>
          <w:szCs w:val="22"/>
        </w:rPr>
        <w:t xml:space="preserve"> to be placed in </w:t>
      </w:r>
      <w:r w:rsidR="00AC0BD0">
        <w:rPr>
          <w:sz w:val="22"/>
          <w:szCs w:val="22"/>
        </w:rPr>
        <w:t>P</w:t>
      </w:r>
      <w:r w:rsidR="002C612A">
        <w:rPr>
          <w:sz w:val="22"/>
          <w:szCs w:val="22"/>
        </w:rPr>
        <w:t>519.</w:t>
      </w:r>
    </w:p>
    <w:p w14:paraId="28AFA973" w14:textId="77777777" w:rsidR="000B57B4" w:rsidRDefault="0062002B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(Carryover) </w:t>
      </w:r>
      <w:r w:rsidR="000B57B4">
        <w:rPr>
          <w:sz w:val="22"/>
          <w:szCs w:val="22"/>
        </w:rPr>
        <w:t xml:space="preserve">Gary Nuzzi, Nick Zagrodnik and Mark Halpin to write justification and proposal for </w:t>
      </w:r>
      <w:r w:rsidR="001B46EA">
        <w:rPr>
          <w:sz w:val="22"/>
          <w:szCs w:val="22"/>
        </w:rPr>
        <w:t xml:space="preserve">new </w:t>
      </w:r>
      <w:r w:rsidR="000B57B4">
        <w:rPr>
          <w:sz w:val="22"/>
          <w:szCs w:val="22"/>
        </w:rPr>
        <w:t>THD definition that would include/take into account integer and interharmonics up to 50</w:t>
      </w:r>
      <w:r w:rsidR="000B57B4" w:rsidRPr="000B57B4">
        <w:rPr>
          <w:sz w:val="22"/>
          <w:szCs w:val="22"/>
          <w:vertAlign w:val="superscript"/>
        </w:rPr>
        <w:t>th</w:t>
      </w:r>
      <w:r w:rsidR="000B57B4">
        <w:rPr>
          <w:sz w:val="22"/>
          <w:szCs w:val="22"/>
        </w:rPr>
        <w:t>.</w:t>
      </w:r>
    </w:p>
    <w:p w14:paraId="76046077" w14:textId="77777777" w:rsidR="000B57B4" w:rsidRDefault="0062002B" w:rsidP="0067198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 (Carryover) </w:t>
      </w:r>
      <w:r w:rsidR="000B57B4">
        <w:rPr>
          <w:sz w:val="22"/>
          <w:szCs w:val="22"/>
        </w:rPr>
        <w:t xml:space="preserve">Gary Nuzzi, Nick Zagrodnik and Mark Halpin to write justification and proposal for TDD that clearly states definition of what type of demand measurement </w:t>
      </w:r>
      <w:r w:rsidR="00090020">
        <w:rPr>
          <w:sz w:val="22"/>
          <w:szCs w:val="22"/>
        </w:rPr>
        <w:t xml:space="preserve">interval </w:t>
      </w:r>
      <w:r w:rsidR="000B57B4">
        <w:rPr>
          <w:sz w:val="22"/>
          <w:szCs w:val="22"/>
        </w:rPr>
        <w:t>to use.</w:t>
      </w:r>
    </w:p>
    <w:p w14:paraId="20F59E35" w14:textId="77777777" w:rsidR="003B0C53" w:rsidRPr="009E170A" w:rsidRDefault="0062002B" w:rsidP="009E170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(Carryover) </w:t>
      </w:r>
      <w:r w:rsidR="00773AD0">
        <w:rPr>
          <w:sz w:val="22"/>
          <w:szCs w:val="22"/>
        </w:rPr>
        <w:t>Bill Howe volunteered Tom Cooke to write a piece on current state and improving measurement technology to enable PQ monitoring equipment to accurately measure distortion above the 50</w:t>
      </w:r>
      <w:r w:rsidR="00773AD0" w:rsidRPr="00773AD0">
        <w:rPr>
          <w:sz w:val="22"/>
          <w:szCs w:val="22"/>
          <w:vertAlign w:val="superscript"/>
        </w:rPr>
        <w:t>th</w:t>
      </w:r>
      <w:r w:rsidR="00773AD0">
        <w:rPr>
          <w:sz w:val="22"/>
          <w:szCs w:val="22"/>
        </w:rPr>
        <w:t>.</w:t>
      </w:r>
      <w:r w:rsidR="00622193">
        <w:rPr>
          <w:sz w:val="22"/>
          <w:szCs w:val="22"/>
        </w:rPr>
        <w:t xml:space="preserve">  This section should also include difficulties/limitations of accurately measuring harmonic distortion on HV systems due to instrument transformers.</w:t>
      </w:r>
    </w:p>
    <w:sectPr w:rsidR="003B0C53" w:rsidRPr="009E170A" w:rsidSect="00B45A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FF4F" w14:textId="77777777" w:rsidR="00631C2C" w:rsidRDefault="00631C2C" w:rsidP="00810270">
      <w:r>
        <w:separator/>
      </w:r>
    </w:p>
  </w:endnote>
  <w:endnote w:type="continuationSeparator" w:id="0">
    <w:p w14:paraId="7281EA2A" w14:textId="77777777" w:rsidR="00631C2C" w:rsidRDefault="00631C2C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B192" w14:textId="77777777" w:rsidR="00631C2C" w:rsidRDefault="00631C2C" w:rsidP="00810270">
      <w:r>
        <w:separator/>
      </w:r>
    </w:p>
  </w:footnote>
  <w:footnote w:type="continuationSeparator" w:id="0">
    <w:p w14:paraId="63F8B30B" w14:textId="77777777" w:rsidR="00631C2C" w:rsidRDefault="00631C2C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4777" w14:textId="77777777"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48"/>
      <w:gridCol w:w="2628"/>
    </w:tblGrid>
    <w:tr w:rsidR="00FD5C93" w:rsidRPr="00B45A31" w14:paraId="59635F1D" w14:textId="77777777" w:rsidTr="003D7BBA">
      <w:tc>
        <w:tcPr>
          <w:tcW w:w="6948" w:type="dxa"/>
        </w:tcPr>
        <w:p w14:paraId="76108142" w14:textId="77777777" w:rsidR="00FD5C93" w:rsidRDefault="00FD5C93" w:rsidP="00584EE8">
          <w:pPr>
            <w:pStyle w:val="Header"/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="00A63E88" w:rsidRPr="00B21E88">
              <w:rPr>
                <w:rStyle w:val="Hyperlink"/>
              </w:rPr>
              <w:t>https://site.ieee.org/pes-td/</w:t>
            </w:r>
          </w:hyperlink>
        </w:p>
        <w:p w14:paraId="723BB14B" w14:textId="77777777" w:rsidR="00A63E88" w:rsidRPr="00B45A31" w:rsidRDefault="00A63E88" w:rsidP="00584EE8">
          <w:pPr>
            <w:pStyle w:val="Header"/>
            <w:rPr>
              <w:rFonts w:ascii="Verdana" w:hAnsi="Verdana"/>
              <w:sz w:val="28"/>
            </w:rPr>
          </w:pPr>
        </w:p>
      </w:tc>
      <w:tc>
        <w:tcPr>
          <w:tcW w:w="2628" w:type="dxa"/>
        </w:tcPr>
        <w:p w14:paraId="770D6EDF" w14:textId="77777777"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4AA88F8C" wp14:editId="3F97BEDB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44D059" w14:textId="77777777" w:rsidR="00FD5C93" w:rsidRPr="00B45A31" w:rsidRDefault="00FD5C93" w:rsidP="00932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7C"/>
    <w:multiLevelType w:val="hybridMultilevel"/>
    <w:tmpl w:val="089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35FC"/>
    <w:multiLevelType w:val="hybridMultilevel"/>
    <w:tmpl w:val="6060A6C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774F"/>
    <w:multiLevelType w:val="hybridMultilevel"/>
    <w:tmpl w:val="C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675F"/>
    <w:multiLevelType w:val="hybridMultilevel"/>
    <w:tmpl w:val="F30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6FF8"/>
    <w:multiLevelType w:val="hybridMultilevel"/>
    <w:tmpl w:val="80D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3F5F"/>
    <w:multiLevelType w:val="hybridMultilevel"/>
    <w:tmpl w:val="C9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6423D"/>
    <w:multiLevelType w:val="hybridMultilevel"/>
    <w:tmpl w:val="ADD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F0779"/>
    <w:multiLevelType w:val="hybridMultilevel"/>
    <w:tmpl w:val="A70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034711"/>
    <w:multiLevelType w:val="hybridMultilevel"/>
    <w:tmpl w:val="442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458B3"/>
    <w:multiLevelType w:val="hybridMultilevel"/>
    <w:tmpl w:val="98E65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31290"/>
    <w:multiLevelType w:val="hybridMultilevel"/>
    <w:tmpl w:val="B42A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378D9"/>
    <w:multiLevelType w:val="hybridMultilevel"/>
    <w:tmpl w:val="D1F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4"/>
  </w:num>
  <w:num w:numId="4">
    <w:abstractNumId w:val="9"/>
  </w:num>
  <w:num w:numId="5">
    <w:abstractNumId w:val="12"/>
  </w:num>
  <w:num w:numId="6">
    <w:abstractNumId w:val="7"/>
  </w:num>
  <w:num w:numId="7">
    <w:abstractNumId w:val="19"/>
  </w:num>
  <w:num w:numId="8">
    <w:abstractNumId w:val="35"/>
  </w:num>
  <w:num w:numId="9">
    <w:abstractNumId w:val="5"/>
  </w:num>
  <w:num w:numId="10">
    <w:abstractNumId w:val="2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18"/>
  </w:num>
  <w:num w:numId="18">
    <w:abstractNumId w:val="6"/>
  </w:num>
  <w:num w:numId="19">
    <w:abstractNumId w:val="15"/>
  </w:num>
  <w:num w:numId="20">
    <w:abstractNumId w:val="30"/>
  </w:num>
  <w:num w:numId="21">
    <w:abstractNumId w:val="29"/>
  </w:num>
  <w:num w:numId="22">
    <w:abstractNumId w:val="10"/>
  </w:num>
  <w:num w:numId="23">
    <w:abstractNumId w:val="31"/>
  </w:num>
  <w:num w:numId="24">
    <w:abstractNumId w:val="1"/>
  </w:num>
  <w:num w:numId="25">
    <w:abstractNumId w:val="8"/>
  </w:num>
  <w:num w:numId="26">
    <w:abstractNumId w:val="0"/>
  </w:num>
  <w:num w:numId="27">
    <w:abstractNumId w:val="27"/>
  </w:num>
  <w:num w:numId="28">
    <w:abstractNumId w:val="34"/>
  </w:num>
  <w:num w:numId="29">
    <w:abstractNumId w:val="13"/>
  </w:num>
  <w:num w:numId="30">
    <w:abstractNumId w:val="14"/>
  </w:num>
  <w:num w:numId="31">
    <w:abstractNumId w:val="23"/>
  </w:num>
  <w:num w:numId="32">
    <w:abstractNumId w:val="32"/>
  </w:num>
  <w:num w:numId="33">
    <w:abstractNumId w:val="2"/>
  </w:num>
  <w:num w:numId="34">
    <w:abstractNumId w:val="25"/>
  </w:num>
  <w:num w:numId="35">
    <w:abstractNumId w:val="4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029FF"/>
    <w:rsid w:val="00013CC3"/>
    <w:rsid w:val="000160F1"/>
    <w:rsid w:val="000258C9"/>
    <w:rsid w:val="000277CB"/>
    <w:rsid w:val="00032378"/>
    <w:rsid w:val="00034BC5"/>
    <w:rsid w:val="000457E7"/>
    <w:rsid w:val="00060CAE"/>
    <w:rsid w:val="000655D8"/>
    <w:rsid w:val="00070577"/>
    <w:rsid w:val="0007499E"/>
    <w:rsid w:val="00080235"/>
    <w:rsid w:val="00084F10"/>
    <w:rsid w:val="00090020"/>
    <w:rsid w:val="000A3629"/>
    <w:rsid w:val="000A4275"/>
    <w:rsid w:val="000B299F"/>
    <w:rsid w:val="000B474E"/>
    <w:rsid w:val="000B57B4"/>
    <w:rsid w:val="000B72D1"/>
    <w:rsid w:val="000C09E1"/>
    <w:rsid w:val="000C5C38"/>
    <w:rsid w:val="000D0B6E"/>
    <w:rsid w:val="000D74E8"/>
    <w:rsid w:val="000E3221"/>
    <w:rsid w:val="000E4324"/>
    <w:rsid w:val="000E6351"/>
    <w:rsid w:val="000E6354"/>
    <w:rsid w:val="001135E4"/>
    <w:rsid w:val="0013368F"/>
    <w:rsid w:val="00155A21"/>
    <w:rsid w:val="00161A52"/>
    <w:rsid w:val="0017018F"/>
    <w:rsid w:val="00173DE7"/>
    <w:rsid w:val="001808DC"/>
    <w:rsid w:val="00182FC2"/>
    <w:rsid w:val="001834EB"/>
    <w:rsid w:val="00197D2D"/>
    <w:rsid w:val="001A11A1"/>
    <w:rsid w:val="001A2CA1"/>
    <w:rsid w:val="001B46EA"/>
    <w:rsid w:val="001C3E86"/>
    <w:rsid w:val="001C6BEF"/>
    <w:rsid w:val="001E0B0C"/>
    <w:rsid w:val="001E556E"/>
    <w:rsid w:val="0020052F"/>
    <w:rsid w:val="00224217"/>
    <w:rsid w:val="002261AB"/>
    <w:rsid w:val="0023612D"/>
    <w:rsid w:val="00237739"/>
    <w:rsid w:val="00244193"/>
    <w:rsid w:val="002468BA"/>
    <w:rsid w:val="00254809"/>
    <w:rsid w:val="002558B1"/>
    <w:rsid w:val="0029344F"/>
    <w:rsid w:val="002A0940"/>
    <w:rsid w:val="002A1BA6"/>
    <w:rsid w:val="002A24E7"/>
    <w:rsid w:val="002B48B1"/>
    <w:rsid w:val="002C382B"/>
    <w:rsid w:val="002C612A"/>
    <w:rsid w:val="002F6953"/>
    <w:rsid w:val="00302C8C"/>
    <w:rsid w:val="003036E1"/>
    <w:rsid w:val="003076F9"/>
    <w:rsid w:val="00321774"/>
    <w:rsid w:val="00323954"/>
    <w:rsid w:val="003321A7"/>
    <w:rsid w:val="003329E5"/>
    <w:rsid w:val="00333AE3"/>
    <w:rsid w:val="0034097C"/>
    <w:rsid w:val="003455AB"/>
    <w:rsid w:val="00363578"/>
    <w:rsid w:val="00364D6C"/>
    <w:rsid w:val="00380A05"/>
    <w:rsid w:val="003917AE"/>
    <w:rsid w:val="00397D5B"/>
    <w:rsid w:val="003B0024"/>
    <w:rsid w:val="003B0C53"/>
    <w:rsid w:val="003B4650"/>
    <w:rsid w:val="003B63AE"/>
    <w:rsid w:val="003D4CCB"/>
    <w:rsid w:val="003D57B2"/>
    <w:rsid w:val="003D7BBA"/>
    <w:rsid w:val="003E6E6F"/>
    <w:rsid w:val="003F4301"/>
    <w:rsid w:val="0040085C"/>
    <w:rsid w:val="00400F38"/>
    <w:rsid w:val="00412610"/>
    <w:rsid w:val="00415601"/>
    <w:rsid w:val="00420A00"/>
    <w:rsid w:val="00430586"/>
    <w:rsid w:val="00446A39"/>
    <w:rsid w:val="00453A92"/>
    <w:rsid w:val="00454BF8"/>
    <w:rsid w:val="00461B25"/>
    <w:rsid w:val="00470857"/>
    <w:rsid w:val="0047774A"/>
    <w:rsid w:val="004876AF"/>
    <w:rsid w:val="00490C42"/>
    <w:rsid w:val="004A2363"/>
    <w:rsid w:val="004B3E16"/>
    <w:rsid w:val="004B5F83"/>
    <w:rsid w:val="004D6416"/>
    <w:rsid w:val="004E7344"/>
    <w:rsid w:val="004F48B0"/>
    <w:rsid w:val="004F5BA5"/>
    <w:rsid w:val="00511A06"/>
    <w:rsid w:val="00530C9B"/>
    <w:rsid w:val="0054139D"/>
    <w:rsid w:val="00547848"/>
    <w:rsid w:val="00557DFA"/>
    <w:rsid w:val="005803F8"/>
    <w:rsid w:val="00580496"/>
    <w:rsid w:val="00580BAE"/>
    <w:rsid w:val="00584EE8"/>
    <w:rsid w:val="005905B6"/>
    <w:rsid w:val="005A18EE"/>
    <w:rsid w:val="005A388B"/>
    <w:rsid w:val="005A52F6"/>
    <w:rsid w:val="005A7B4E"/>
    <w:rsid w:val="005C1F68"/>
    <w:rsid w:val="005D3AE1"/>
    <w:rsid w:val="005D3B50"/>
    <w:rsid w:val="005D508F"/>
    <w:rsid w:val="005D5F44"/>
    <w:rsid w:val="005E0220"/>
    <w:rsid w:val="005E4466"/>
    <w:rsid w:val="005E7FC5"/>
    <w:rsid w:val="005F15D0"/>
    <w:rsid w:val="00615A89"/>
    <w:rsid w:val="0062002B"/>
    <w:rsid w:val="00622193"/>
    <w:rsid w:val="00623F6A"/>
    <w:rsid w:val="00631C2C"/>
    <w:rsid w:val="00633FD2"/>
    <w:rsid w:val="00643352"/>
    <w:rsid w:val="00646505"/>
    <w:rsid w:val="00650F4A"/>
    <w:rsid w:val="00661861"/>
    <w:rsid w:val="00666243"/>
    <w:rsid w:val="00666B7F"/>
    <w:rsid w:val="006701EF"/>
    <w:rsid w:val="0067198A"/>
    <w:rsid w:val="00677B3F"/>
    <w:rsid w:val="006A38D8"/>
    <w:rsid w:val="006B56C2"/>
    <w:rsid w:val="006E0433"/>
    <w:rsid w:val="006E3A2B"/>
    <w:rsid w:val="00703BB0"/>
    <w:rsid w:val="00711BCE"/>
    <w:rsid w:val="00712167"/>
    <w:rsid w:val="007172C2"/>
    <w:rsid w:val="00726D1C"/>
    <w:rsid w:val="007341FC"/>
    <w:rsid w:val="00761292"/>
    <w:rsid w:val="007634BE"/>
    <w:rsid w:val="0077154A"/>
    <w:rsid w:val="00772117"/>
    <w:rsid w:val="00773AD0"/>
    <w:rsid w:val="00777785"/>
    <w:rsid w:val="00777BAF"/>
    <w:rsid w:val="00792335"/>
    <w:rsid w:val="007A653A"/>
    <w:rsid w:val="007A792E"/>
    <w:rsid w:val="007B28C1"/>
    <w:rsid w:val="007B535E"/>
    <w:rsid w:val="007B644E"/>
    <w:rsid w:val="007D3817"/>
    <w:rsid w:val="007E4892"/>
    <w:rsid w:val="007F1D09"/>
    <w:rsid w:val="007F6DC3"/>
    <w:rsid w:val="008000C4"/>
    <w:rsid w:val="00804D73"/>
    <w:rsid w:val="00804D7E"/>
    <w:rsid w:val="00810270"/>
    <w:rsid w:val="00822D31"/>
    <w:rsid w:val="00822DE7"/>
    <w:rsid w:val="008344E3"/>
    <w:rsid w:val="0084165B"/>
    <w:rsid w:val="00842CF5"/>
    <w:rsid w:val="008464BE"/>
    <w:rsid w:val="00846A8D"/>
    <w:rsid w:val="00860A32"/>
    <w:rsid w:val="00860D29"/>
    <w:rsid w:val="008667F3"/>
    <w:rsid w:val="00884BA2"/>
    <w:rsid w:val="008A3987"/>
    <w:rsid w:val="008A7EAB"/>
    <w:rsid w:val="008B0237"/>
    <w:rsid w:val="008D01B4"/>
    <w:rsid w:val="008E4C36"/>
    <w:rsid w:val="008F3040"/>
    <w:rsid w:val="009042FA"/>
    <w:rsid w:val="00910AFC"/>
    <w:rsid w:val="00922EAD"/>
    <w:rsid w:val="009262BE"/>
    <w:rsid w:val="00927CDC"/>
    <w:rsid w:val="009322FE"/>
    <w:rsid w:val="0093276A"/>
    <w:rsid w:val="00933DE7"/>
    <w:rsid w:val="009379B6"/>
    <w:rsid w:val="00973398"/>
    <w:rsid w:val="00984716"/>
    <w:rsid w:val="00985CD4"/>
    <w:rsid w:val="00987429"/>
    <w:rsid w:val="0098799C"/>
    <w:rsid w:val="009A01F6"/>
    <w:rsid w:val="009A5038"/>
    <w:rsid w:val="009A6540"/>
    <w:rsid w:val="009B2127"/>
    <w:rsid w:val="009B31CD"/>
    <w:rsid w:val="009B347C"/>
    <w:rsid w:val="009C033A"/>
    <w:rsid w:val="009C5FA9"/>
    <w:rsid w:val="009D7241"/>
    <w:rsid w:val="009E170A"/>
    <w:rsid w:val="009E4CA4"/>
    <w:rsid w:val="009F51AF"/>
    <w:rsid w:val="009F7513"/>
    <w:rsid w:val="00A1043C"/>
    <w:rsid w:val="00A10507"/>
    <w:rsid w:val="00A2042E"/>
    <w:rsid w:val="00A3700D"/>
    <w:rsid w:val="00A3795C"/>
    <w:rsid w:val="00A411CA"/>
    <w:rsid w:val="00A5101B"/>
    <w:rsid w:val="00A52480"/>
    <w:rsid w:val="00A529DA"/>
    <w:rsid w:val="00A613EE"/>
    <w:rsid w:val="00A63E88"/>
    <w:rsid w:val="00A722C1"/>
    <w:rsid w:val="00A81433"/>
    <w:rsid w:val="00A82589"/>
    <w:rsid w:val="00A95AFD"/>
    <w:rsid w:val="00AB1ED6"/>
    <w:rsid w:val="00AC0BD0"/>
    <w:rsid w:val="00AC1D19"/>
    <w:rsid w:val="00AD4A7D"/>
    <w:rsid w:val="00AF3101"/>
    <w:rsid w:val="00AF5604"/>
    <w:rsid w:val="00B01068"/>
    <w:rsid w:val="00B011CF"/>
    <w:rsid w:val="00B02B24"/>
    <w:rsid w:val="00B24A28"/>
    <w:rsid w:val="00B252EC"/>
    <w:rsid w:val="00B30E10"/>
    <w:rsid w:val="00B3132A"/>
    <w:rsid w:val="00B37A31"/>
    <w:rsid w:val="00B43861"/>
    <w:rsid w:val="00B45A31"/>
    <w:rsid w:val="00B57C63"/>
    <w:rsid w:val="00B71343"/>
    <w:rsid w:val="00B7727A"/>
    <w:rsid w:val="00B84D64"/>
    <w:rsid w:val="00B868E6"/>
    <w:rsid w:val="00BA2088"/>
    <w:rsid w:val="00BA6DB3"/>
    <w:rsid w:val="00BC397D"/>
    <w:rsid w:val="00BD2481"/>
    <w:rsid w:val="00BD6641"/>
    <w:rsid w:val="00BF7E5A"/>
    <w:rsid w:val="00C101F2"/>
    <w:rsid w:val="00C14CAE"/>
    <w:rsid w:val="00C173CA"/>
    <w:rsid w:val="00C23878"/>
    <w:rsid w:val="00C30090"/>
    <w:rsid w:val="00C430BA"/>
    <w:rsid w:val="00C437A7"/>
    <w:rsid w:val="00C63977"/>
    <w:rsid w:val="00C720EA"/>
    <w:rsid w:val="00C7725E"/>
    <w:rsid w:val="00C84527"/>
    <w:rsid w:val="00C84F80"/>
    <w:rsid w:val="00CC0C3D"/>
    <w:rsid w:val="00CC2EB2"/>
    <w:rsid w:val="00CD1EB5"/>
    <w:rsid w:val="00CD4968"/>
    <w:rsid w:val="00CD5D44"/>
    <w:rsid w:val="00CD682C"/>
    <w:rsid w:val="00CE1AF4"/>
    <w:rsid w:val="00CE2794"/>
    <w:rsid w:val="00CF1BB1"/>
    <w:rsid w:val="00CF5E41"/>
    <w:rsid w:val="00D018FC"/>
    <w:rsid w:val="00D0732E"/>
    <w:rsid w:val="00D07E8B"/>
    <w:rsid w:val="00D21BD3"/>
    <w:rsid w:val="00D254BD"/>
    <w:rsid w:val="00D3129A"/>
    <w:rsid w:val="00D320A7"/>
    <w:rsid w:val="00D34893"/>
    <w:rsid w:val="00D4181B"/>
    <w:rsid w:val="00D50FC7"/>
    <w:rsid w:val="00D551D2"/>
    <w:rsid w:val="00D56645"/>
    <w:rsid w:val="00D60AB1"/>
    <w:rsid w:val="00D648A8"/>
    <w:rsid w:val="00D70683"/>
    <w:rsid w:val="00DA10BA"/>
    <w:rsid w:val="00DB6E1A"/>
    <w:rsid w:val="00DB7B39"/>
    <w:rsid w:val="00DD0577"/>
    <w:rsid w:val="00DE1D0A"/>
    <w:rsid w:val="00DF435B"/>
    <w:rsid w:val="00E11BE6"/>
    <w:rsid w:val="00E16182"/>
    <w:rsid w:val="00E322A8"/>
    <w:rsid w:val="00E4148A"/>
    <w:rsid w:val="00E430D7"/>
    <w:rsid w:val="00E516A2"/>
    <w:rsid w:val="00E605E2"/>
    <w:rsid w:val="00E626C8"/>
    <w:rsid w:val="00E647B2"/>
    <w:rsid w:val="00E70F0B"/>
    <w:rsid w:val="00E76AB6"/>
    <w:rsid w:val="00E77742"/>
    <w:rsid w:val="00E82CE3"/>
    <w:rsid w:val="00E92CFC"/>
    <w:rsid w:val="00EA1A57"/>
    <w:rsid w:val="00EA2760"/>
    <w:rsid w:val="00EA2ABA"/>
    <w:rsid w:val="00EA2B40"/>
    <w:rsid w:val="00EA70D4"/>
    <w:rsid w:val="00EB4BB0"/>
    <w:rsid w:val="00EC6139"/>
    <w:rsid w:val="00ED35C9"/>
    <w:rsid w:val="00ED5B71"/>
    <w:rsid w:val="00ED7127"/>
    <w:rsid w:val="00EE07DD"/>
    <w:rsid w:val="00EF78BF"/>
    <w:rsid w:val="00F00063"/>
    <w:rsid w:val="00F06B0C"/>
    <w:rsid w:val="00F10AB1"/>
    <w:rsid w:val="00F205BC"/>
    <w:rsid w:val="00F42FE2"/>
    <w:rsid w:val="00F47374"/>
    <w:rsid w:val="00F65129"/>
    <w:rsid w:val="00F73EC4"/>
    <w:rsid w:val="00F81B10"/>
    <w:rsid w:val="00F91AE2"/>
    <w:rsid w:val="00F94EC2"/>
    <w:rsid w:val="00F96593"/>
    <w:rsid w:val="00F97689"/>
    <w:rsid w:val="00FA1FA3"/>
    <w:rsid w:val="00FC4643"/>
    <w:rsid w:val="00FC4CEA"/>
    <w:rsid w:val="00FD1A24"/>
    <w:rsid w:val="00FD257C"/>
    <w:rsid w:val="00FD5A2C"/>
    <w:rsid w:val="00FD5C93"/>
    <w:rsid w:val="00FF0D4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7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63E88"/>
    <w:rPr>
      <w:color w:val="BA690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te.ieee.org/pes-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95CB-CD6C-4A3B-87E4-A3D1EDA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2020-08-12T17:59:00Z</dcterms:created>
  <dcterms:modified xsi:type="dcterms:W3CDTF">2020-09-28T21:43:00Z</dcterms:modified>
</cp:coreProperties>
</file>