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DCC3" w14:textId="77777777" w:rsidR="00DF3504" w:rsidRDefault="00DF3504" w:rsidP="00DF3504">
      <w:r>
        <w:t>IEEE 519 Agenda Items:</w:t>
      </w:r>
    </w:p>
    <w:p w14:paraId="26FDE7D4" w14:textId="77777777" w:rsidR="00DF3504" w:rsidRDefault="00DF3504" w:rsidP="00DF3504"/>
    <w:p w14:paraId="79D08132" w14:textId="1C4D7A62" w:rsidR="00B43AFD" w:rsidRDefault="00B43AFD" w:rsidP="00DF3504">
      <w:pPr>
        <w:numPr>
          <w:ilvl w:val="0"/>
          <w:numId w:val="1"/>
        </w:numPr>
        <w:spacing w:after="240"/>
        <w:rPr>
          <w:rFonts w:eastAsia="Times New Roman"/>
        </w:rPr>
      </w:pPr>
      <w:r>
        <w:rPr>
          <w:rFonts w:eastAsia="Times New Roman"/>
        </w:rPr>
        <w:t>Please post your name, affiliation, and email address in the chat for attendance</w:t>
      </w:r>
    </w:p>
    <w:p w14:paraId="358E8801" w14:textId="7AD288A1" w:rsidR="00B43AFD" w:rsidRDefault="00B43AFD" w:rsidP="00DF3504">
      <w:pPr>
        <w:numPr>
          <w:ilvl w:val="0"/>
          <w:numId w:val="1"/>
        </w:numPr>
        <w:spacing w:after="240"/>
        <w:rPr>
          <w:rFonts w:eastAsia="Times New Roman"/>
        </w:rPr>
      </w:pPr>
      <w:r>
        <w:rPr>
          <w:rFonts w:eastAsia="Times New Roman"/>
        </w:rPr>
        <w:t>IEEE Legal Slides</w:t>
      </w:r>
    </w:p>
    <w:p w14:paraId="5C765A61" w14:textId="7713097D" w:rsidR="00427C1A" w:rsidRPr="00427C1A" w:rsidRDefault="00B43AFD" w:rsidP="00427C1A">
      <w:pPr>
        <w:numPr>
          <w:ilvl w:val="0"/>
          <w:numId w:val="1"/>
        </w:numPr>
        <w:spacing w:after="240"/>
        <w:rPr>
          <w:rFonts w:eastAsia="Times New Roman"/>
        </w:rPr>
      </w:pPr>
      <w:r>
        <w:rPr>
          <w:rFonts w:eastAsia="Times New Roman"/>
        </w:rPr>
        <w:t>Review minutes from 2021 JTCM Meeting</w:t>
      </w:r>
    </w:p>
    <w:p w14:paraId="6917EEDA" w14:textId="41D28E15" w:rsidR="00427C1A" w:rsidRDefault="00427C1A" w:rsidP="00DF3504">
      <w:pPr>
        <w:numPr>
          <w:ilvl w:val="0"/>
          <w:numId w:val="1"/>
        </w:numPr>
        <w:spacing w:after="240"/>
        <w:rPr>
          <w:rFonts w:eastAsia="Times New Roman"/>
        </w:rPr>
      </w:pPr>
      <w:r>
        <w:rPr>
          <w:rFonts w:eastAsia="Times New Roman"/>
        </w:rPr>
        <w:t xml:space="preserve">PAR Expires End of 2021 - </w:t>
      </w:r>
      <w:r>
        <w:rPr>
          <w:rFonts w:eastAsia="Times New Roman"/>
        </w:rPr>
        <w:t>Request PAR extension for 1 year</w:t>
      </w:r>
      <w:r>
        <w:rPr>
          <w:rFonts w:eastAsia="Times New Roman"/>
        </w:rPr>
        <w:t xml:space="preserve"> in </w:t>
      </w:r>
      <w:r w:rsidR="00345507">
        <w:rPr>
          <w:rFonts w:eastAsia="Times New Roman"/>
        </w:rPr>
        <w:t>M</w:t>
      </w:r>
      <w:r>
        <w:rPr>
          <w:rFonts w:eastAsia="Times New Roman"/>
        </w:rPr>
        <w:t>y</w:t>
      </w:r>
      <w:r w:rsidR="00345507">
        <w:rPr>
          <w:rFonts w:eastAsia="Times New Roman"/>
        </w:rPr>
        <w:t>P</w:t>
      </w:r>
      <w:r>
        <w:rPr>
          <w:rFonts w:eastAsia="Times New Roman"/>
        </w:rPr>
        <w:t>roject</w:t>
      </w:r>
    </w:p>
    <w:p w14:paraId="75B37253" w14:textId="29F84C29" w:rsidR="00DF3504" w:rsidRDefault="00DF3504" w:rsidP="00DF3504">
      <w:pPr>
        <w:numPr>
          <w:ilvl w:val="0"/>
          <w:numId w:val="1"/>
        </w:numPr>
        <w:spacing w:after="240"/>
        <w:rPr>
          <w:rFonts w:eastAsia="Times New Roman"/>
        </w:rPr>
      </w:pPr>
      <w:r>
        <w:rPr>
          <w:rFonts w:eastAsia="Times New Roman"/>
        </w:rPr>
        <w:t xml:space="preserve">Update the working group on categorization of the comments received in the initial ballot, and how those comments were addressed.  </w:t>
      </w:r>
    </w:p>
    <w:p w14:paraId="0035D0D8" w14:textId="33C4C5A7" w:rsidR="00DF3504" w:rsidRDefault="00DF3504" w:rsidP="00DF3504">
      <w:pPr>
        <w:numPr>
          <w:ilvl w:val="1"/>
          <w:numId w:val="1"/>
        </w:numPr>
        <w:spacing w:after="240"/>
        <w:rPr>
          <w:rFonts w:eastAsia="Times New Roman"/>
        </w:rPr>
      </w:pPr>
      <w:r>
        <w:rPr>
          <w:rFonts w:eastAsia="Times New Roman"/>
        </w:rPr>
        <w:t>Scope and Purpose in the document are different than what is in the active PAR – PAR will be revised and submitted to IEEE to match what is in the 519 document.</w:t>
      </w:r>
    </w:p>
    <w:p w14:paraId="1EDF75EE" w14:textId="1A70ABF8" w:rsidR="00DF3504" w:rsidRDefault="00DF3504" w:rsidP="00DF3504">
      <w:pPr>
        <w:numPr>
          <w:ilvl w:val="1"/>
          <w:numId w:val="1"/>
        </w:numPr>
        <w:spacing w:after="240"/>
        <w:rPr>
          <w:rFonts w:eastAsia="Times New Roman"/>
        </w:rPr>
      </w:pPr>
      <w:r>
        <w:rPr>
          <w:rFonts w:eastAsia="Times New Roman"/>
        </w:rPr>
        <w:t xml:space="preserve">Comments about spacing being incorrect or a table being off center – these will be corrected </w:t>
      </w:r>
      <w:r w:rsidR="00427C1A">
        <w:rPr>
          <w:rFonts w:eastAsia="Times New Roman"/>
        </w:rPr>
        <w:t xml:space="preserve">before the next re-circulation </w:t>
      </w:r>
      <w:r>
        <w:rPr>
          <w:rFonts w:eastAsia="Times New Roman"/>
        </w:rPr>
        <w:t>once all other changes have been made.</w:t>
      </w:r>
    </w:p>
    <w:p w14:paraId="2B999728" w14:textId="77777777" w:rsidR="00DF3504" w:rsidRDefault="00DF3504" w:rsidP="00DF3504">
      <w:pPr>
        <w:numPr>
          <w:ilvl w:val="1"/>
          <w:numId w:val="1"/>
        </w:numPr>
        <w:spacing w:after="240"/>
        <w:rPr>
          <w:rFonts w:eastAsia="Times New Roman"/>
        </w:rPr>
      </w:pPr>
      <w:r>
        <w:rPr>
          <w:rFonts w:eastAsia="Times New Roman"/>
        </w:rPr>
        <w:t>Comments that could be addressed in a short amount of time without discussion were either accepted or rejected. These were mostly editorial comments.</w:t>
      </w:r>
    </w:p>
    <w:p w14:paraId="3E48A536" w14:textId="625DC1C2" w:rsidR="00DF3504" w:rsidRDefault="00DF3504" w:rsidP="00DF3504">
      <w:pPr>
        <w:numPr>
          <w:ilvl w:val="1"/>
          <w:numId w:val="1"/>
        </w:numPr>
        <w:spacing w:after="240"/>
        <w:rPr>
          <w:rFonts w:eastAsia="Times New Roman"/>
        </w:rPr>
      </w:pPr>
      <w:r>
        <w:rPr>
          <w:rFonts w:eastAsia="Times New Roman"/>
        </w:rPr>
        <w:t xml:space="preserve">Comments that require significant discussion and compromise within the working group were rejected with the disposition that the suggestion could either be considered for  inclusion in 519.1 (which is still needing and accepting new content), and/or it could be considered for inclusion in the next revision of 519. Below are comments/suggestions that fall into this category. </w:t>
      </w:r>
      <w:r w:rsidR="00427C1A">
        <w:rPr>
          <w:rFonts w:eastAsia="Times New Roman"/>
        </w:rPr>
        <w:t xml:space="preserve">– </w:t>
      </w:r>
      <w:commentRangeStart w:id="0"/>
      <w:r w:rsidR="00427C1A" w:rsidRPr="00427C1A">
        <w:rPr>
          <w:rFonts w:eastAsia="Times New Roman"/>
          <w:b/>
          <w:bCs/>
          <w:color w:val="FF0000"/>
        </w:rPr>
        <w:t>May be considered in a possible future revision</w:t>
      </w:r>
      <w:commentRangeEnd w:id="0"/>
      <w:r w:rsidR="00345507">
        <w:rPr>
          <w:rStyle w:val="CommentReference"/>
        </w:rPr>
        <w:commentReference w:id="0"/>
      </w:r>
      <w:r w:rsidR="00427C1A" w:rsidRPr="00427C1A">
        <w:rPr>
          <w:rFonts w:eastAsia="Times New Roman"/>
          <w:b/>
          <w:bCs/>
          <w:color w:val="FF0000"/>
        </w:rPr>
        <w:t>.</w:t>
      </w:r>
    </w:p>
    <w:p w14:paraId="03F6DC04" w14:textId="77777777" w:rsidR="00DF3504" w:rsidRDefault="00DF3504" w:rsidP="00DF3504">
      <w:pPr>
        <w:numPr>
          <w:ilvl w:val="2"/>
          <w:numId w:val="1"/>
        </w:numPr>
        <w:rPr>
          <w:rFonts w:eastAsia="Times New Roman"/>
        </w:rPr>
      </w:pPr>
      <w:r>
        <w:rPr>
          <w:rFonts w:eastAsia="Times New Roman"/>
        </w:rPr>
        <w:t>Include interharmonic current limits in tables 2 through 4</w:t>
      </w:r>
    </w:p>
    <w:p w14:paraId="30633F4D" w14:textId="77777777" w:rsidR="00DF3504" w:rsidRDefault="00DF3504" w:rsidP="00DF3504">
      <w:pPr>
        <w:numPr>
          <w:ilvl w:val="2"/>
          <w:numId w:val="1"/>
        </w:numPr>
        <w:rPr>
          <w:rFonts w:eastAsia="Times New Roman"/>
        </w:rPr>
      </w:pPr>
      <w:r>
        <w:rPr>
          <w:rFonts w:eastAsia="Times New Roman"/>
        </w:rPr>
        <w:t>2</w:t>
      </w:r>
      <w:r>
        <w:rPr>
          <w:rFonts w:eastAsia="Times New Roman"/>
          <w:vertAlign w:val="superscript"/>
        </w:rPr>
        <w:t>nd</w:t>
      </w:r>
      <w:r>
        <w:rPr>
          <w:rFonts w:eastAsia="Times New Roman"/>
        </w:rPr>
        <w:t xml:space="preserve"> harmonic current limits are not achievable for arc furnaces</w:t>
      </w:r>
    </w:p>
    <w:p w14:paraId="6A802923" w14:textId="77777777" w:rsidR="00DF3504" w:rsidRDefault="00DF3504" w:rsidP="00DF3504">
      <w:pPr>
        <w:numPr>
          <w:ilvl w:val="2"/>
          <w:numId w:val="1"/>
        </w:numPr>
        <w:rPr>
          <w:rFonts w:eastAsia="Times New Roman"/>
        </w:rPr>
      </w:pPr>
      <w:r>
        <w:rPr>
          <w:rFonts w:eastAsia="Times New Roman"/>
        </w:rPr>
        <w:t>Consumer’s ability to control system impedance characteristics resulting in amplified voltage distortion (last paragraph in clause 1.2)</w:t>
      </w:r>
    </w:p>
    <w:p w14:paraId="51B71E72" w14:textId="77777777" w:rsidR="00DF3504" w:rsidRDefault="00DF3504" w:rsidP="00DF3504">
      <w:pPr>
        <w:numPr>
          <w:ilvl w:val="2"/>
          <w:numId w:val="1"/>
        </w:numPr>
        <w:rPr>
          <w:rFonts w:eastAsia="Times New Roman"/>
        </w:rPr>
      </w:pPr>
      <w:r>
        <w:rPr>
          <w:rFonts w:eastAsia="Times New Roman"/>
        </w:rPr>
        <w:t>Consumer’s ability to control their harmonic current emissions resulting in amplified voltage distortion (in the case of VSC)</w:t>
      </w:r>
    </w:p>
    <w:p w14:paraId="7917E97B" w14:textId="77777777" w:rsidR="00DF3504" w:rsidRDefault="00DF3504" w:rsidP="00DF3504">
      <w:pPr>
        <w:numPr>
          <w:ilvl w:val="2"/>
          <w:numId w:val="1"/>
        </w:numPr>
        <w:rPr>
          <w:rFonts w:eastAsia="Times New Roman"/>
        </w:rPr>
      </w:pPr>
      <w:r>
        <w:rPr>
          <w:rFonts w:eastAsia="Times New Roman"/>
        </w:rPr>
        <w:t>Add text to allow consumers to exceed current distortion limits if the effect is reduced voltage distortion</w:t>
      </w:r>
    </w:p>
    <w:p w14:paraId="25650D5E" w14:textId="77777777" w:rsidR="00DF3504" w:rsidRDefault="00DF3504" w:rsidP="00DF3504">
      <w:pPr>
        <w:numPr>
          <w:ilvl w:val="2"/>
          <w:numId w:val="1"/>
        </w:numPr>
        <w:rPr>
          <w:rFonts w:eastAsia="Times New Roman"/>
        </w:rPr>
      </w:pPr>
      <w:r>
        <w:rPr>
          <w:rFonts w:eastAsia="Times New Roman"/>
        </w:rPr>
        <w:t>Revise or remove the HVDC note under Table 1</w:t>
      </w:r>
    </w:p>
    <w:p w14:paraId="30BEA864" w14:textId="77777777" w:rsidR="00DF3504" w:rsidRDefault="00DF3504" w:rsidP="00DF3504">
      <w:pPr>
        <w:numPr>
          <w:ilvl w:val="2"/>
          <w:numId w:val="1"/>
        </w:numPr>
        <w:rPr>
          <w:rFonts w:eastAsia="Times New Roman"/>
        </w:rPr>
      </w:pPr>
      <w:r>
        <w:rPr>
          <w:rFonts w:eastAsia="Times New Roman"/>
        </w:rPr>
        <w:t>Examples for how to do something in 519 (such as computing percentiles)</w:t>
      </w:r>
    </w:p>
    <w:p w14:paraId="1D4EC49E" w14:textId="77777777" w:rsidR="00DF3504" w:rsidRDefault="00DF3504" w:rsidP="00DF3504">
      <w:pPr>
        <w:numPr>
          <w:ilvl w:val="2"/>
          <w:numId w:val="1"/>
        </w:numPr>
        <w:rPr>
          <w:rFonts w:eastAsia="Times New Roman"/>
        </w:rPr>
      </w:pPr>
      <w:r>
        <w:rPr>
          <w:rFonts w:eastAsia="Times New Roman"/>
        </w:rPr>
        <w:t>The rationale for changing a limit (such as the even harmonic limits change)</w:t>
      </w:r>
    </w:p>
    <w:p w14:paraId="71D9B564" w14:textId="77777777" w:rsidR="00DF3504" w:rsidRDefault="00DF3504" w:rsidP="00DF3504">
      <w:pPr>
        <w:numPr>
          <w:ilvl w:val="2"/>
          <w:numId w:val="1"/>
        </w:numPr>
        <w:rPr>
          <w:rFonts w:eastAsia="Times New Roman"/>
        </w:rPr>
      </w:pPr>
      <w:r>
        <w:rPr>
          <w:rFonts w:eastAsia="Times New Roman"/>
        </w:rPr>
        <w:t>Changing harmonic voltage and current limits for systems &gt; 161 kV (primarily related to VSC HVDC). Also include explanatory information in 519.1 related to background harmonic voltage, network harmonic impedance, and frequency dependent damping of the network harmonic impedance.</w:t>
      </w:r>
    </w:p>
    <w:p w14:paraId="4810AEEB" w14:textId="77777777" w:rsidR="00DF3504" w:rsidRDefault="00DF3504" w:rsidP="00DF3504">
      <w:pPr>
        <w:numPr>
          <w:ilvl w:val="2"/>
          <w:numId w:val="1"/>
        </w:numPr>
        <w:rPr>
          <w:rFonts w:eastAsia="Times New Roman"/>
        </w:rPr>
      </w:pPr>
      <w:r>
        <w:rPr>
          <w:rFonts w:eastAsia="Times New Roman"/>
        </w:rPr>
        <w:t>In Annex A, relax higher order interharmonic voltage limits when compared with lower order interharmonic voltage limits. Claim is that flicker is not an issue at interharmonics above the 11</w:t>
      </w:r>
      <w:r>
        <w:rPr>
          <w:rFonts w:eastAsia="Times New Roman"/>
          <w:vertAlign w:val="superscript"/>
        </w:rPr>
        <w:t>th</w:t>
      </w:r>
      <w:r>
        <w:rPr>
          <w:rFonts w:eastAsia="Times New Roman"/>
        </w:rPr>
        <w:t xml:space="preserve"> order.</w:t>
      </w:r>
    </w:p>
    <w:p w14:paraId="4313554C" w14:textId="77777777" w:rsidR="00DF3504" w:rsidRDefault="00DF3504" w:rsidP="00DF3504"/>
    <w:p w14:paraId="57BC1BFA" w14:textId="77777777" w:rsidR="00DF3504" w:rsidRDefault="00DF3504" w:rsidP="00DF3504">
      <w:pPr>
        <w:spacing w:after="240"/>
      </w:pPr>
      <w:r>
        <w:t>IEEE 519.1 Agenda Items:</w:t>
      </w:r>
    </w:p>
    <w:p w14:paraId="668A17B7" w14:textId="77777777" w:rsidR="00DF3504" w:rsidRDefault="00DF3504" w:rsidP="00DF3504">
      <w:pPr>
        <w:numPr>
          <w:ilvl w:val="0"/>
          <w:numId w:val="1"/>
        </w:numPr>
        <w:rPr>
          <w:rFonts w:eastAsia="Times New Roman"/>
        </w:rPr>
      </w:pPr>
      <w:r>
        <w:rPr>
          <w:rFonts w:eastAsia="Times New Roman"/>
        </w:rPr>
        <w:lastRenderedPageBreak/>
        <w:t>Review of previous content decisions, volunteers, and status</w:t>
      </w:r>
    </w:p>
    <w:p w14:paraId="4052D731" w14:textId="7DF9FFAD" w:rsidR="008E22B5" w:rsidRDefault="00DF3504" w:rsidP="00B23CA6">
      <w:pPr>
        <w:numPr>
          <w:ilvl w:val="0"/>
          <w:numId w:val="1"/>
        </w:numPr>
      </w:pPr>
      <w:r w:rsidRPr="00B43AFD">
        <w:rPr>
          <w:rFonts w:eastAsia="Times New Roman"/>
        </w:rPr>
        <w:t>Discussion of possible additional content based on 519 ballot comment resolution and volunteers.</w:t>
      </w:r>
    </w:p>
    <w:sectPr w:rsidR="008E22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Zech" w:date="2021-07-22T12:29:00Z" w:initials="ZDP">
    <w:p w14:paraId="36B6FE2B" w14:textId="340B375F" w:rsidR="00345507" w:rsidRDefault="00345507">
      <w:pPr>
        <w:pStyle w:val="CommentText"/>
      </w:pPr>
      <w:r>
        <w:rPr>
          <w:rStyle w:val="CommentReference"/>
        </w:rPr>
        <w:annotationRef/>
      </w:r>
      <w:r>
        <w:t>Language to be used in comment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B6F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E31D" w16cex:dateUtc="2021-07-22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B6FE2B" w16cid:durableId="24A3E3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E33"/>
    <w:multiLevelType w:val="hybridMultilevel"/>
    <w:tmpl w:val="40288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Zech">
    <w15:presenceInfo w15:providerId="AD" w15:userId="S::David.Zech@duke-energy.com::1500b894-44fb-45ae-9d74-04def02f0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504"/>
    <w:rsid w:val="00345507"/>
    <w:rsid w:val="00427C1A"/>
    <w:rsid w:val="008E22B5"/>
    <w:rsid w:val="00B43AFD"/>
    <w:rsid w:val="00D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8A0C"/>
  <w15:chartTrackingRefBased/>
  <w15:docId w15:val="{E29C5B9C-DCB4-4203-828B-3D06ADDE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1A"/>
    <w:rPr>
      <w:rFonts w:ascii="Segoe UI" w:hAnsi="Segoe UI" w:cs="Segoe UI"/>
      <w:sz w:val="18"/>
      <w:szCs w:val="18"/>
    </w:rPr>
  </w:style>
  <w:style w:type="character" w:styleId="CommentReference">
    <w:name w:val="annotation reference"/>
    <w:basedOn w:val="DefaultParagraphFont"/>
    <w:uiPriority w:val="99"/>
    <w:semiHidden/>
    <w:unhideWhenUsed/>
    <w:rsid w:val="00345507"/>
    <w:rPr>
      <w:sz w:val="16"/>
      <w:szCs w:val="16"/>
    </w:rPr>
  </w:style>
  <w:style w:type="paragraph" w:styleId="CommentText">
    <w:name w:val="annotation text"/>
    <w:basedOn w:val="Normal"/>
    <w:link w:val="CommentTextChar"/>
    <w:uiPriority w:val="99"/>
    <w:semiHidden/>
    <w:unhideWhenUsed/>
    <w:rsid w:val="00345507"/>
    <w:rPr>
      <w:sz w:val="20"/>
      <w:szCs w:val="20"/>
    </w:rPr>
  </w:style>
  <w:style w:type="character" w:customStyle="1" w:styleId="CommentTextChar">
    <w:name w:val="Comment Text Char"/>
    <w:basedOn w:val="DefaultParagraphFont"/>
    <w:link w:val="CommentText"/>
    <w:uiPriority w:val="99"/>
    <w:semiHidden/>
    <w:rsid w:val="0034550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5507"/>
    <w:rPr>
      <w:b/>
      <w:bCs/>
    </w:rPr>
  </w:style>
  <w:style w:type="character" w:customStyle="1" w:styleId="CommentSubjectChar">
    <w:name w:val="Comment Subject Char"/>
    <w:basedOn w:val="CommentTextChar"/>
    <w:link w:val="CommentSubject"/>
    <w:uiPriority w:val="99"/>
    <w:semiHidden/>
    <w:rsid w:val="0034550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A6D26C7D20B488DFEFA93E5C618F3" ma:contentTypeVersion="2" ma:contentTypeDescription="Create a new document." ma:contentTypeScope="" ma:versionID="4ba7f0596964f76b3afebc583e243a54">
  <xsd:schema xmlns:xsd="http://www.w3.org/2001/XMLSchema" xmlns:xs="http://www.w3.org/2001/XMLSchema" xmlns:p="http://schemas.microsoft.com/office/2006/metadata/properties" xmlns:ns3="90e5acbb-0395-4622-b7b8-896aac3b22d7" targetNamespace="http://schemas.microsoft.com/office/2006/metadata/properties" ma:root="true" ma:fieldsID="9c4641944a6863f9f10f6ad9bef3fc9a" ns3:_="">
    <xsd:import namespace="90e5acbb-0395-4622-b7b8-896aac3b22d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acbb-0395-4622-b7b8-896aac3b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452AA-81A7-4AAF-A6A5-74BA58BE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acbb-0395-4622-b7b8-896aac3b2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4E86A-C549-4C0E-B3AC-847996164083}">
  <ds:schemaRefs>
    <ds:schemaRef ds:uri="http://schemas.microsoft.com/sharepoint/v3/contenttype/forms"/>
  </ds:schemaRefs>
</ds:datastoreItem>
</file>

<file path=customXml/itemProps3.xml><?xml version="1.0" encoding="utf-8"?>
<ds:datastoreItem xmlns:ds="http://schemas.openxmlformats.org/officeDocument/2006/customXml" ds:itemID="{3EDFC2E0-CE31-489F-B745-54246137242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0e5acbb-0395-4622-b7b8-896aac3b22d7"/>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 David P</dc:creator>
  <cp:keywords/>
  <dc:description/>
  <cp:lastModifiedBy>Zech, David P</cp:lastModifiedBy>
  <cp:revision>1</cp:revision>
  <dcterms:created xsi:type="dcterms:W3CDTF">2021-07-22T14:09:00Z</dcterms:created>
  <dcterms:modified xsi:type="dcterms:W3CDTF">2021-07-22T16:39:00Z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0x010100CE2A6D26C7D20B488DFEFA93E5C618F3</vt:lpwstr>
  </property>
</Properties>
</file>